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8EAD5" w14:textId="326789A0"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 xml:space="preserve">Il est possible de rompre un </w:t>
      </w:r>
      <w:hyperlink r:id="rId10" w:history="1">
        <w:r w:rsidRPr="00117EF8">
          <w:rPr>
            <w:rFonts w:ascii="&amp;quot" w:eastAsia="Times New Roman" w:hAnsi="&amp;quot" w:cs="Times New Roman"/>
            <w:color w:val="505050"/>
            <w:sz w:val="21"/>
            <w:szCs w:val="21"/>
            <w:lang w:eastAsia="fr-FR"/>
          </w:rPr>
          <w:t>contrat de travail à durée déterminée (CDD)</w:t>
        </w:r>
      </w:hyperlink>
      <w:r w:rsidRPr="00117EF8">
        <w:rPr>
          <w:rFonts w:ascii="&amp;quot" w:eastAsia="Times New Roman" w:hAnsi="&amp;quot" w:cs="Times New Roman"/>
          <w:color w:val="505050"/>
          <w:sz w:val="21"/>
          <w:szCs w:val="21"/>
          <w:lang w:eastAsia="fr-FR"/>
        </w:rPr>
        <w:t xml:space="preserve"> avant son terme mais les cas sont limités.</w:t>
      </w:r>
    </w:p>
    <w:p w14:paraId="15E5CC9E" w14:textId="77777777"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La rupture peut s’effectuer d’un commun accord avec le salarié.</w:t>
      </w:r>
    </w:p>
    <w:p w14:paraId="2BE777C8" w14:textId="77777777"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 xml:space="preserve">Si cela est impossible, il reste la rupture disciplinaire. Mais attention, le </w:t>
      </w:r>
      <w:hyperlink r:id="rId11" w:history="1">
        <w:r w:rsidRPr="00117EF8">
          <w:rPr>
            <w:rFonts w:ascii="&amp;quot" w:eastAsia="Times New Roman" w:hAnsi="&amp;quot" w:cs="Times New Roman"/>
            <w:color w:val="505050"/>
            <w:sz w:val="21"/>
            <w:szCs w:val="21"/>
            <w:lang w:eastAsia="fr-FR"/>
          </w:rPr>
          <w:t>CDD</w:t>
        </w:r>
      </w:hyperlink>
      <w:r w:rsidRPr="00117EF8">
        <w:rPr>
          <w:rFonts w:ascii="&amp;quot" w:eastAsia="Times New Roman" w:hAnsi="&amp;quot" w:cs="Times New Roman"/>
          <w:color w:val="505050"/>
          <w:sz w:val="21"/>
          <w:szCs w:val="21"/>
          <w:lang w:eastAsia="fr-FR"/>
        </w:rPr>
        <w:t xml:space="preserve"> ne peut être rompu qu’en cas de </w:t>
      </w:r>
      <w:hyperlink r:id="rId12" w:history="1">
        <w:r w:rsidRPr="00117EF8">
          <w:rPr>
            <w:rFonts w:ascii="&amp;quot" w:eastAsia="Times New Roman" w:hAnsi="&amp;quot" w:cs="Times New Roman"/>
            <w:color w:val="505050"/>
            <w:sz w:val="21"/>
            <w:szCs w:val="21"/>
            <w:lang w:eastAsia="fr-FR"/>
          </w:rPr>
          <w:t>faute grave</w:t>
        </w:r>
      </w:hyperlink>
      <w:r w:rsidRPr="00117EF8">
        <w:rPr>
          <w:rFonts w:ascii="&amp;quot" w:eastAsia="Times New Roman" w:hAnsi="&amp;quot" w:cs="Times New Roman"/>
          <w:color w:val="505050"/>
          <w:sz w:val="21"/>
          <w:szCs w:val="21"/>
          <w:lang w:eastAsia="fr-FR"/>
        </w:rPr>
        <w:t>.</w:t>
      </w:r>
    </w:p>
    <w:p w14:paraId="69EAF7D7" w14:textId="77777777"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Une rupture anticipée du CDD est également envisageable en cas de force majeure.</w:t>
      </w:r>
    </w:p>
    <w:p w14:paraId="7632D82E" w14:textId="77777777"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Il existe une autre situation où l’employeur peut envisager une rupture anticipée du contrat de travail à durée déterminée : l’inaptitude constatée par le médecin du travail (</w:t>
      </w:r>
      <w:hyperlink r:id="rId13" w:history="1">
        <w:r w:rsidRPr="00117EF8">
          <w:rPr>
            <w:rFonts w:ascii="&amp;quot" w:eastAsia="Times New Roman" w:hAnsi="&amp;quot" w:cs="Times New Roman"/>
            <w:color w:val="505050"/>
            <w:sz w:val="21"/>
            <w:szCs w:val="21"/>
            <w:lang w:eastAsia="fr-FR"/>
          </w:rPr>
          <w:t>Code du travail</w:t>
        </w:r>
      </w:hyperlink>
      <w:r w:rsidRPr="00117EF8">
        <w:rPr>
          <w:rFonts w:ascii="&amp;quot" w:eastAsia="Times New Roman" w:hAnsi="&amp;quot" w:cs="Times New Roman"/>
          <w:color w:val="505050"/>
          <w:sz w:val="21"/>
          <w:szCs w:val="21"/>
          <w:lang w:eastAsia="fr-FR"/>
        </w:rPr>
        <w:t xml:space="preserve">, art. </w:t>
      </w:r>
      <w:hyperlink r:id="rId14" w:history="1">
        <w:r w:rsidRPr="00117EF8">
          <w:rPr>
            <w:rFonts w:ascii="&amp;quot" w:eastAsia="Times New Roman" w:hAnsi="&amp;quot" w:cs="Times New Roman"/>
            <w:color w:val="505050"/>
            <w:sz w:val="21"/>
            <w:szCs w:val="21"/>
            <w:lang w:eastAsia="fr-FR"/>
          </w:rPr>
          <w:t>L. 1243-1</w:t>
        </w:r>
      </w:hyperlink>
      <w:r w:rsidRPr="00117EF8">
        <w:rPr>
          <w:rFonts w:ascii="&amp;quot" w:eastAsia="Times New Roman" w:hAnsi="&amp;quot" w:cs="Times New Roman"/>
          <w:color w:val="505050"/>
          <w:sz w:val="21"/>
          <w:szCs w:val="21"/>
          <w:lang w:eastAsia="fr-FR"/>
        </w:rPr>
        <w:t>).</w:t>
      </w:r>
    </w:p>
    <w:p w14:paraId="179C5E31" w14:textId="77777777" w:rsidR="00117EF8" w:rsidRPr="00117EF8" w:rsidRDefault="00117EF8" w:rsidP="00117EF8">
      <w:pPr>
        <w:shd w:val="clear" w:color="auto" w:fill="F5F5F5"/>
        <w:spacing w:after="0" w:line="240" w:lineRule="auto"/>
        <w:rPr>
          <w:rFonts w:ascii="&amp;quot" w:eastAsia="Times New Roman" w:hAnsi="&amp;quot" w:cs="Times New Roman"/>
          <w:b/>
          <w:bCs/>
          <w:color w:val="574541"/>
          <w:sz w:val="21"/>
          <w:szCs w:val="21"/>
          <w:lang w:eastAsia="fr-FR"/>
        </w:rPr>
      </w:pPr>
      <w:r w:rsidRPr="00117EF8">
        <w:rPr>
          <w:rFonts w:ascii="&amp;quot" w:eastAsia="Times New Roman" w:hAnsi="&amp;quot" w:cs="Times New Roman"/>
          <w:b/>
          <w:bCs/>
          <w:color w:val="574541"/>
          <w:sz w:val="21"/>
          <w:szCs w:val="21"/>
          <w:lang w:eastAsia="fr-FR"/>
        </w:rPr>
        <w:t>Notez-le</w:t>
      </w:r>
    </w:p>
    <w:p w14:paraId="64D62C7B" w14:textId="77777777" w:rsidR="00117EF8" w:rsidRPr="00117EF8" w:rsidRDefault="00117EF8" w:rsidP="00117EF8">
      <w:pPr>
        <w:shd w:val="clear" w:color="auto" w:fill="F5F5F5"/>
        <w:spacing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Le salarié en CDD a également la possibilité de rompre son contrat s’il justifie avoir conclu un contrat à durée indéterminée (Code du travail, art. L. 1243-2).</w:t>
      </w:r>
    </w:p>
    <w:p w14:paraId="07754ABF" w14:textId="77777777" w:rsidR="00117EF8" w:rsidRPr="00117EF8" w:rsidRDefault="00117EF8" w:rsidP="00117EF8">
      <w:pPr>
        <w:spacing w:before="100" w:beforeAutospacing="1" w:after="100" w:afterAutospacing="1" w:line="449" w:lineRule="atLeast"/>
        <w:outlineLvl w:val="1"/>
        <w:rPr>
          <w:rFonts w:ascii="&amp;quot" w:eastAsia="Times New Roman" w:hAnsi="&amp;quot" w:cs="Times New Roman"/>
          <w:b/>
          <w:bCs/>
          <w:color w:val="505050"/>
          <w:sz w:val="36"/>
          <w:szCs w:val="36"/>
          <w:lang w:eastAsia="fr-FR"/>
        </w:rPr>
      </w:pPr>
      <w:r w:rsidRPr="00117EF8">
        <w:rPr>
          <w:rFonts w:ascii="&amp;quot" w:eastAsia="Times New Roman" w:hAnsi="&amp;quot" w:cs="Times New Roman"/>
          <w:b/>
          <w:bCs/>
          <w:color w:val="505050"/>
          <w:sz w:val="36"/>
          <w:szCs w:val="36"/>
          <w:lang w:eastAsia="fr-FR"/>
        </w:rPr>
        <w:t>Rupture du contrat à durée déterminée : d’un commun accord</w:t>
      </w:r>
    </w:p>
    <w:p w14:paraId="39C12F9E" w14:textId="2A082CE6"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 xml:space="preserve">Cette possibilité de rupture anticipée du CDD suppose que </w:t>
      </w:r>
      <w:r w:rsidR="001B2B17">
        <w:rPr>
          <w:rFonts w:ascii="&amp;quot" w:eastAsia="Times New Roman" w:hAnsi="&amp;quot" w:cs="Times New Roman"/>
          <w:color w:val="505050"/>
          <w:sz w:val="21"/>
          <w:szCs w:val="21"/>
          <w:lang w:eastAsia="fr-FR"/>
        </w:rPr>
        <w:t>l’employeur</w:t>
      </w:r>
      <w:r w:rsidRPr="00117EF8">
        <w:rPr>
          <w:rFonts w:ascii="&amp;quot" w:eastAsia="Times New Roman" w:hAnsi="&amp;quot" w:cs="Times New Roman"/>
          <w:color w:val="505050"/>
          <w:sz w:val="21"/>
          <w:szCs w:val="21"/>
          <w:lang w:eastAsia="fr-FR"/>
        </w:rPr>
        <w:t xml:space="preserve"> et le salarié </w:t>
      </w:r>
      <w:r w:rsidR="001B2B17">
        <w:rPr>
          <w:rFonts w:ascii="&amp;quot" w:eastAsia="Times New Roman" w:hAnsi="&amp;quot" w:cs="Times New Roman"/>
          <w:color w:val="505050"/>
          <w:sz w:val="21"/>
          <w:szCs w:val="21"/>
          <w:lang w:eastAsia="fr-FR"/>
        </w:rPr>
        <w:t>soient</w:t>
      </w:r>
      <w:r w:rsidRPr="00117EF8">
        <w:rPr>
          <w:rFonts w:ascii="&amp;quot" w:eastAsia="Times New Roman" w:hAnsi="&amp;quot" w:cs="Times New Roman"/>
          <w:color w:val="505050"/>
          <w:sz w:val="21"/>
          <w:szCs w:val="21"/>
          <w:lang w:eastAsia="fr-FR"/>
        </w:rPr>
        <w:t xml:space="preserve"> parvenus à </w:t>
      </w:r>
      <w:r w:rsidR="001B2B17">
        <w:rPr>
          <w:rFonts w:ascii="&amp;quot" w:eastAsia="Times New Roman" w:hAnsi="&amp;quot" w:cs="Times New Roman"/>
          <w:color w:val="505050"/>
          <w:sz w:val="21"/>
          <w:szCs w:val="21"/>
          <w:lang w:eastAsia="fr-FR"/>
        </w:rPr>
        <w:t>se</w:t>
      </w:r>
      <w:r w:rsidRPr="00117EF8">
        <w:rPr>
          <w:rFonts w:ascii="&amp;quot" w:eastAsia="Times New Roman" w:hAnsi="&amp;quot" w:cs="Times New Roman"/>
          <w:color w:val="505050"/>
          <w:sz w:val="21"/>
          <w:szCs w:val="21"/>
          <w:lang w:eastAsia="fr-FR"/>
        </w:rPr>
        <w:t xml:space="preserve"> mettre d’accord sur le fait de rompre le contrat avant la date prévue.</w:t>
      </w:r>
    </w:p>
    <w:p w14:paraId="434C9D03" w14:textId="54970A9D"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 xml:space="preserve">Dans ce cas, il est alors nécessaire de matérialiser </w:t>
      </w:r>
      <w:r w:rsidR="001B2B17">
        <w:rPr>
          <w:rFonts w:ascii="&amp;quot" w:eastAsia="Times New Roman" w:hAnsi="&amp;quot" w:cs="Times New Roman"/>
          <w:color w:val="505050"/>
          <w:sz w:val="21"/>
          <w:szCs w:val="21"/>
          <w:lang w:eastAsia="fr-FR"/>
        </w:rPr>
        <w:t>la volonté de l’employeur</w:t>
      </w:r>
      <w:r w:rsidRPr="00117EF8">
        <w:rPr>
          <w:rFonts w:ascii="&amp;quot" w:eastAsia="Times New Roman" w:hAnsi="&amp;quot" w:cs="Times New Roman"/>
          <w:color w:val="505050"/>
          <w:sz w:val="21"/>
          <w:szCs w:val="21"/>
          <w:lang w:eastAsia="fr-FR"/>
        </w:rPr>
        <w:t xml:space="preserve"> par un document écrit rédigé en double exemplaire et signé des deux parties.</w:t>
      </w:r>
    </w:p>
    <w:p w14:paraId="7751A5F7" w14:textId="77777777" w:rsidR="00117EF8" w:rsidRPr="00117EF8" w:rsidRDefault="00117EF8" w:rsidP="00117EF8">
      <w:pPr>
        <w:spacing w:before="100" w:beforeAutospacing="1" w:after="100" w:afterAutospacing="1" w:line="449" w:lineRule="atLeast"/>
        <w:outlineLvl w:val="1"/>
        <w:rPr>
          <w:rFonts w:ascii="&amp;quot" w:eastAsia="Times New Roman" w:hAnsi="&amp;quot" w:cs="Times New Roman"/>
          <w:b/>
          <w:bCs/>
          <w:color w:val="505050"/>
          <w:sz w:val="36"/>
          <w:szCs w:val="36"/>
          <w:lang w:eastAsia="fr-FR"/>
        </w:rPr>
      </w:pPr>
      <w:r w:rsidRPr="00117EF8">
        <w:rPr>
          <w:rFonts w:ascii="&amp;quot" w:eastAsia="Times New Roman" w:hAnsi="&amp;quot" w:cs="Times New Roman"/>
          <w:b/>
          <w:bCs/>
          <w:color w:val="505050"/>
          <w:sz w:val="36"/>
          <w:szCs w:val="36"/>
          <w:lang w:eastAsia="fr-FR"/>
        </w:rPr>
        <w:t>Rupture du contrat à durée déterminée : la faute grave</w:t>
      </w:r>
    </w:p>
    <w:p w14:paraId="1258EABF" w14:textId="77777777"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Pour être considérée comme grave, la faute doit être d’une importance telle qu’elle rend impossible le maintien du salarié dans l’entreprise, et ce même pendant la durée de son préavis.</w:t>
      </w:r>
    </w:p>
    <w:p w14:paraId="78325828" w14:textId="77777777"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Il n’existe pas de liste des fautes qualifiées de graves. La gravité doit être appréciée au cas par cas. Un même comportement peut être considéré, selon les circonstances, les personnes, l’ancienneté, etc., comme une faute simple ou une faute grave.</w:t>
      </w:r>
    </w:p>
    <w:p w14:paraId="3E6CEE44" w14:textId="318E64A2"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Il revient</w:t>
      </w:r>
      <w:r w:rsidR="001B2B17">
        <w:rPr>
          <w:rFonts w:ascii="&amp;quot" w:eastAsia="Times New Roman" w:hAnsi="&amp;quot" w:cs="Times New Roman"/>
          <w:color w:val="505050"/>
          <w:sz w:val="21"/>
          <w:szCs w:val="21"/>
          <w:lang w:eastAsia="fr-FR"/>
        </w:rPr>
        <w:t xml:space="preserve"> à l’employeur</w:t>
      </w:r>
      <w:r w:rsidRPr="00117EF8">
        <w:rPr>
          <w:rFonts w:ascii="&amp;quot" w:eastAsia="Times New Roman" w:hAnsi="&amp;quot" w:cs="Times New Roman"/>
          <w:color w:val="505050"/>
          <w:sz w:val="21"/>
          <w:szCs w:val="21"/>
          <w:lang w:eastAsia="fr-FR"/>
        </w:rPr>
        <w:t xml:space="preserve"> d’apprécier si la faute commise est grave et si le salarié doit quitter l’entreprise. Si tel est le cas, </w:t>
      </w:r>
      <w:r w:rsidR="001B2B17">
        <w:rPr>
          <w:rFonts w:ascii="&amp;quot" w:eastAsia="Times New Roman" w:hAnsi="&amp;quot" w:cs="Times New Roman"/>
          <w:color w:val="505050"/>
          <w:sz w:val="21"/>
          <w:szCs w:val="21"/>
          <w:lang w:eastAsia="fr-FR"/>
        </w:rPr>
        <w:t>l’action doit être réalisée</w:t>
      </w:r>
      <w:bookmarkStart w:id="0" w:name="_GoBack"/>
      <w:bookmarkEnd w:id="0"/>
      <w:r w:rsidRPr="00117EF8">
        <w:rPr>
          <w:rFonts w:ascii="&amp;quot" w:eastAsia="Times New Roman" w:hAnsi="&amp;quot" w:cs="Times New Roman"/>
          <w:color w:val="505050"/>
          <w:sz w:val="21"/>
          <w:szCs w:val="21"/>
          <w:lang w:eastAsia="fr-FR"/>
        </w:rPr>
        <w:t xml:space="preserve"> rapidement.</w:t>
      </w:r>
    </w:p>
    <w:p w14:paraId="73FD8ABB" w14:textId="77777777"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En cas de litige, ce sont les juges qui apprécieront la gravité de la faute en fonction des circonstances.</w:t>
      </w:r>
    </w:p>
    <w:p w14:paraId="60C01494" w14:textId="77777777"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 xml:space="preserve">Pour rompre un CDD pour faute grave, vous respectez la procédure disciplinaire (convocation, entretien, etc.). Il faut penser à consulter votre </w:t>
      </w:r>
      <w:hyperlink r:id="rId15" w:tgtFrame="_blank" w:history="1">
        <w:r w:rsidRPr="00117EF8">
          <w:rPr>
            <w:rFonts w:ascii="&amp;quot" w:eastAsia="Times New Roman" w:hAnsi="&amp;quot" w:cs="Times New Roman"/>
            <w:color w:val="505050"/>
            <w:sz w:val="21"/>
            <w:szCs w:val="21"/>
            <w:lang w:eastAsia="fr-FR"/>
          </w:rPr>
          <w:t>convention collective</w:t>
        </w:r>
      </w:hyperlink>
      <w:r w:rsidRPr="00117EF8">
        <w:rPr>
          <w:rFonts w:ascii="&amp;quot" w:eastAsia="Times New Roman" w:hAnsi="&amp;quot" w:cs="Times New Roman"/>
          <w:color w:val="505050"/>
          <w:sz w:val="21"/>
          <w:szCs w:val="21"/>
          <w:lang w:eastAsia="fr-FR"/>
        </w:rPr>
        <w:t>, elle peut prévoir des dispositions particulières en la matière (par exemple, passer devant un conseil de discipline avant de rendre une décision).</w:t>
      </w:r>
    </w:p>
    <w:p w14:paraId="43E25A4A" w14:textId="77777777" w:rsidR="00117EF8" w:rsidRPr="00117EF8" w:rsidRDefault="00117EF8" w:rsidP="00117EF8">
      <w:pPr>
        <w:spacing w:before="100" w:beforeAutospacing="1" w:after="100" w:afterAutospacing="1" w:line="449" w:lineRule="atLeast"/>
        <w:outlineLvl w:val="1"/>
        <w:rPr>
          <w:rFonts w:ascii="&amp;quot" w:eastAsia="Times New Roman" w:hAnsi="&amp;quot" w:cs="Times New Roman"/>
          <w:b/>
          <w:bCs/>
          <w:color w:val="505050"/>
          <w:sz w:val="36"/>
          <w:szCs w:val="36"/>
          <w:lang w:eastAsia="fr-FR"/>
        </w:rPr>
      </w:pPr>
      <w:r w:rsidRPr="00117EF8">
        <w:rPr>
          <w:rFonts w:ascii="&amp;quot" w:eastAsia="Times New Roman" w:hAnsi="&amp;quot" w:cs="Times New Roman"/>
          <w:b/>
          <w:bCs/>
          <w:color w:val="505050"/>
          <w:sz w:val="36"/>
          <w:szCs w:val="36"/>
          <w:lang w:eastAsia="fr-FR"/>
        </w:rPr>
        <w:t>Rupture du contrat à durée déterminée : l’inaptitude</w:t>
      </w:r>
    </w:p>
    <w:p w14:paraId="5DAEB1A2" w14:textId="77777777"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L’inaptitude du salarié, d’origine professionnelle ou non professionnelle, constatée par le médecin du travail, vous autorise à rompre le contrat du salarié déclaré inapte et ne pouvant pas être reclassé dans l’entreprise.</w:t>
      </w:r>
    </w:p>
    <w:p w14:paraId="11E16B25" w14:textId="77777777" w:rsidR="00117EF8" w:rsidRPr="00117EF8" w:rsidRDefault="00117EF8" w:rsidP="00117EF8">
      <w:pPr>
        <w:spacing w:before="100" w:beforeAutospacing="1" w:after="100" w:afterAutospacing="1" w:line="449" w:lineRule="atLeast"/>
        <w:outlineLvl w:val="1"/>
        <w:rPr>
          <w:rFonts w:ascii="&amp;quot" w:eastAsia="Times New Roman" w:hAnsi="&amp;quot" w:cs="Times New Roman"/>
          <w:b/>
          <w:bCs/>
          <w:color w:val="505050"/>
          <w:sz w:val="36"/>
          <w:szCs w:val="36"/>
          <w:lang w:eastAsia="fr-FR"/>
        </w:rPr>
      </w:pPr>
      <w:r w:rsidRPr="00117EF8">
        <w:rPr>
          <w:rFonts w:ascii="&amp;quot" w:eastAsia="Times New Roman" w:hAnsi="&amp;quot" w:cs="Times New Roman"/>
          <w:b/>
          <w:bCs/>
          <w:color w:val="505050"/>
          <w:sz w:val="36"/>
          <w:szCs w:val="36"/>
          <w:lang w:eastAsia="fr-FR"/>
        </w:rPr>
        <w:t>Rupture du contrat à durée déterminée : la force majeure</w:t>
      </w:r>
    </w:p>
    <w:p w14:paraId="0FD8355F" w14:textId="0AAB7A2C" w:rsidR="00117EF8" w:rsidRPr="00117EF8" w:rsidRDefault="00117EF8" w:rsidP="00117EF8">
      <w:pPr>
        <w:spacing w:before="300" w:after="300" w:line="240" w:lineRule="auto"/>
        <w:rPr>
          <w:rFonts w:ascii="&amp;quot" w:eastAsia="Times New Roman" w:hAnsi="&amp;quot" w:cs="Times New Roman"/>
          <w:color w:val="505050"/>
          <w:sz w:val="21"/>
          <w:szCs w:val="21"/>
          <w:lang w:eastAsia="fr-FR"/>
        </w:rPr>
      </w:pPr>
      <w:r w:rsidRPr="00117EF8">
        <w:rPr>
          <w:rFonts w:ascii="&amp;quot" w:eastAsia="Times New Roman" w:hAnsi="&amp;quot" w:cs="Times New Roman"/>
          <w:color w:val="505050"/>
          <w:sz w:val="21"/>
          <w:szCs w:val="21"/>
          <w:lang w:eastAsia="fr-FR"/>
        </w:rPr>
        <w:t>C’est un événement imprévisible, irrésistible et insurmontable, empêchant les parties d’accomplir leurs obligations, qui a pour effet de rendre impossible la poursuite du contrat. La force majeure ne peut donc pas être invoquée à l’occasion d’aléas de gestion ou de difficultés économiques (perte d’un marché, fermeture de l’entreprise).</w:t>
      </w:r>
    </w:p>
    <w:p w14:paraId="78ADD71F" w14:textId="77777777" w:rsidR="00D426FE" w:rsidRPr="00117EF8" w:rsidRDefault="00D426FE" w:rsidP="00117EF8"/>
    <w:sectPr w:rsidR="00D426FE" w:rsidRPr="00117EF8" w:rsidSect="00D426FE">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33B6" w14:textId="77777777" w:rsidR="001B2B17" w:rsidRDefault="001B2B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EFF8" w14:textId="77777777" w:rsidR="001B2B17" w:rsidRDefault="001B2B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A3125" w14:textId="77777777" w:rsidR="001B2B17" w:rsidRDefault="001B2B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868D" w14:textId="77777777" w:rsidR="001B2B17" w:rsidRDefault="001B2B1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2234" w14:textId="77777777" w:rsidR="001B2B17" w:rsidRDefault="001B2B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117EF8"/>
    <w:rsid w:val="001B2B17"/>
    <w:rsid w:val="00D4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1595">
      <w:bodyDiv w:val="1"/>
      <w:marLeft w:val="0"/>
      <w:marRight w:val="0"/>
      <w:marTop w:val="0"/>
      <w:marBottom w:val="0"/>
      <w:divBdr>
        <w:top w:val="none" w:sz="0" w:space="0" w:color="auto"/>
        <w:left w:val="none" w:sz="0" w:space="0" w:color="auto"/>
        <w:bottom w:val="none" w:sz="0" w:space="0" w:color="auto"/>
        <w:right w:val="none" w:sz="0" w:space="0" w:color="auto"/>
      </w:divBdr>
      <w:divsChild>
        <w:div w:id="1063022355">
          <w:marLeft w:val="0"/>
          <w:marRight w:val="0"/>
          <w:marTop w:val="0"/>
          <w:marBottom w:val="300"/>
          <w:divBdr>
            <w:top w:val="none" w:sz="0" w:space="0" w:color="auto"/>
            <w:left w:val="none" w:sz="0" w:space="0" w:color="auto"/>
            <w:bottom w:val="none" w:sz="0" w:space="0" w:color="auto"/>
            <w:right w:val="none" w:sz="0" w:space="0" w:color="auto"/>
          </w:divBdr>
          <w:divsChild>
            <w:div w:id="1409037470">
              <w:marLeft w:val="0"/>
              <w:marRight w:val="0"/>
              <w:marTop w:val="0"/>
              <w:marBottom w:val="0"/>
              <w:divBdr>
                <w:top w:val="none" w:sz="0" w:space="0" w:color="auto"/>
                <w:left w:val="none" w:sz="0" w:space="0" w:color="auto"/>
                <w:bottom w:val="none" w:sz="0" w:space="0" w:color="auto"/>
                <w:right w:val="none" w:sz="0" w:space="0" w:color="auto"/>
              </w:divBdr>
            </w:div>
            <w:div w:id="595023296">
              <w:marLeft w:val="0"/>
              <w:marRight w:val="0"/>
              <w:marTop w:val="0"/>
              <w:marBottom w:val="0"/>
              <w:divBdr>
                <w:top w:val="none" w:sz="0" w:space="0" w:color="auto"/>
                <w:left w:val="none" w:sz="0" w:space="0" w:color="auto"/>
                <w:bottom w:val="none" w:sz="0" w:space="0" w:color="auto"/>
                <w:right w:val="none" w:sz="0" w:space="0" w:color="auto"/>
              </w:divBdr>
            </w:div>
          </w:divsChild>
        </w:div>
        <w:div w:id="874855407">
          <w:marLeft w:val="0"/>
          <w:marRight w:val="0"/>
          <w:marTop w:val="0"/>
          <w:marBottom w:val="300"/>
          <w:divBdr>
            <w:top w:val="none" w:sz="0" w:space="0" w:color="auto"/>
            <w:left w:val="none" w:sz="0" w:space="0" w:color="auto"/>
            <w:bottom w:val="none" w:sz="0" w:space="0" w:color="auto"/>
            <w:right w:val="none" w:sz="0" w:space="0" w:color="auto"/>
          </w:divBdr>
          <w:divsChild>
            <w:div w:id="1160270587">
              <w:marLeft w:val="0"/>
              <w:marRight w:val="0"/>
              <w:marTop w:val="0"/>
              <w:marBottom w:val="0"/>
              <w:divBdr>
                <w:top w:val="none" w:sz="0" w:space="0" w:color="auto"/>
                <w:left w:val="none" w:sz="0" w:space="0" w:color="auto"/>
                <w:bottom w:val="none" w:sz="0" w:space="0" w:color="auto"/>
                <w:right w:val="none" w:sz="0" w:space="0" w:color="auto"/>
              </w:divBdr>
            </w:div>
            <w:div w:id="2106879584">
              <w:marLeft w:val="0"/>
              <w:marRight w:val="0"/>
              <w:marTop w:val="0"/>
              <w:marBottom w:val="0"/>
              <w:divBdr>
                <w:top w:val="none" w:sz="0" w:space="0" w:color="auto"/>
                <w:left w:val="none" w:sz="0" w:space="0" w:color="auto"/>
                <w:bottom w:val="none" w:sz="0" w:space="0" w:color="auto"/>
                <w:right w:val="none" w:sz="0" w:space="0" w:color="auto"/>
              </w:divBdr>
            </w:div>
            <w:div w:id="1880316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editions-tissot.fr/produit/le-code-du-travail/?cact=reda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editions-tissot.fr/actualite/droit-du-travail/tag/faute-grav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tions-tissot.fr/actualite/droit-du-travail/tag/cdd" TargetMode="External"/><Relationship Id="rId5" Type="http://schemas.openxmlformats.org/officeDocument/2006/relationships/styles" Target="styles.xml"/><Relationship Id="rId15" Type="http://schemas.openxmlformats.org/officeDocument/2006/relationships/hyperlink" Target="https://cmp.editions-tissot.fr/com/landing/cn1/?cact=redac" TargetMode="External"/><Relationship Id="rId23" Type="http://schemas.openxmlformats.org/officeDocument/2006/relationships/theme" Target="theme/theme1.xml"/><Relationship Id="rId10" Type="http://schemas.openxmlformats.org/officeDocument/2006/relationships/hyperlink" Target="https://www.editions-tissot.fr/actualite/droit-du-travail/tag/contrat-a-duree-determine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itions-tissot.fr/code-du-travail/code-du-travail-mcg.aspx?article=MCAL.1243-1"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EEF5D-A25C-4D68-AF26-A2F0810B4BB2}">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96238137-54cb-4b23-8002-3ec04bb41ce8"/>
    <ds:schemaRef ds:uri="http://schemas.openxmlformats.org/package/2006/metadata/core-properties"/>
    <ds:schemaRef ds:uri="9916e120-d7f8-4fa5-b4b3-ef5fa48b1c67"/>
    <ds:schemaRef ds:uri="http://www.w3.org/XML/1998/namespace"/>
  </ds:schemaRefs>
</ds:datastoreItem>
</file>

<file path=customXml/itemProps2.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C80EE-95D0-4BC1-AA2F-71A233E4C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3</cp:revision>
  <dcterms:created xsi:type="dcterms:W3CDTF">2020-02-06T15:44:00Z</dcterms:created>
  <dcterms:modified xsi:type="dcterms:W3CDTF">2020-02-10T14:06:00Z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