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ABE4F" w14:textId="77777777" w:rsidR="00B6434B" w:rsidRPr="00B6434B" w:rsidRDefault="00B6434B" w:rsidP="00B6434B">
      <w:pPr>
        <w:pStyle w:val="NormalWeb"/>
        <w:spacing w:before="30" w:beforeAutospacing="0" w:after="45" w:afterAutospacing="0"/>
        <w:ind w:left="150" w:right="150"/>
        <w:jc w:val="both"/>
        <w:rPr>
          <w:rFonts w:ascii="Verdana" w:hAnsi="Verdana"/>
          <w:i/>
          <w:iCs/>
          <w:sz w:val="20"/>
          <w:szCs w:val="20"/>
        </w:rPr>
      </w:pPr>
      <w:bookmarkStart w:id="0" w:name="_GoBack"/>
      <w:r w:rsidRPr="00B6434B">
        <w:rPr>
          <w:rFonts w:ascii="Verdana" w:hAnsi="Verdana"/>
          <w:i/>
          <w:iCs/>
          <w:sz w:val="20"/>
          <w:szCs w:val="20"/>
        </w:rPr>
        <w:t>La réforme de la justice initiée par loi 2019-222 du 23 mars 2019 supposait des décrets d’application. Le décret 2019-1333 du 11 décembre 2019 réforme la procédure civile et en particulier la saisine du conseil de prud’hommes. Ces nouvelles dispositions entreront en vigueur le 1</w:t>
      </w:r>
      <w:r w:rsidRPr="00B6434B">
        <w:rPr>
          <w:rFonts w:ascii="Verdana" w:hAnsi="Verdana"/>
          <w:i/>
          <w:iCs/>
          <w:sz w:val="20"/>
          <w:szCs w:val="20"/>
          <w:vertAlign w:val="superscript"/>
        </w:rPr>
        <w:t>er</w:t>
      </w:r>
      <w:r w:rsidRPr="00B6434B">
        <w:rPr>
          <w:rFonts w:ascii="Verdana" w:hAnsi="Verdana"/>
          <w:i/>
          <w:iCs/>
          <w:sz w:val="20"/>
          <w:szCs w:val="20"/>
        </w:rPr>
        <w:t> janvier 2020.</w:t>
      </w:r>
    </w:p>
    <w:p w14:paraId="6033A3A8"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Style w:val="lev"/>
          <w:rFonts w:ascii="Verdana" w:hAnsi="Verdana"/>
          <w:sz w:val="20"/>
          <w:szCs w:val="20"/>
        </w:rPr>
        <w:t>Saisine du conseil de prud’hommes par requête</w:t>
      </w:r>
    </w:p>
    <w:p w14:paraId="381A3E65"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Aujourd’hui, la demande en justice est formée soit par une requête, soit par la présentation volontaire de l’employeur ou du salarié devant le bureau de conciliation et d'orientation (BCO) du conseil de prud’hommes (CPH).</w:t>
      </w:r>
    </w:p>
    <w:p w14:paraId="61D884C7"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À compter du 1</w:t>
      </w:r>
      <w:r w:rsidRPr="00B6434B">
        <w:rPr>
          <w:rFonts w:ascii="Verdana" w:hAnsi="Verdana"/>
          <w:sz w:val="20"/>
          <w:szCs w:val="20"/>
          <w:vertAlign w:val="superscript"/>
        </w:rPr>
        <w:t>er</w:t>
      </w:r>
      <w:r w:rsidRPr="00B6434B">
        <w:rPr>
          <w:rFonts w:ascii="Verdana" w:hAnsi="Verdana"/>
          <w:sz w:val="20"/>
          <w:szCs w:val="20"/>
        </w:rPr>
        <w:t> janvier 2020, le conseil de prud’hommes ne pourra plus être saisi que par une requête (décret </w:t>
      </w:r>
      <w:hyperlink r:id="rId10" w:history="1">
        <w:r w:rsidRPr="00B6434B">
          <w:rPr>
            <w:rStyle w:val="Lienhypertexte"/>
            <w:rFonts w:ascii="Verdana" w:hAnsi="Verdana"/>
            <w:color w:val="auto"/>
            <w:sz w:val="20"/>
            <w:szCs w:val="20"/>
          </w:rPr>
          <w:t>2019-1333 </w:t>
        </w:r>
      </w:hyperlink>
      <w:r w:rsidRPr="00B6434B">
        <w:rPr>
          <w:rFonts w:ascii="Verdana" w:hAnsi="Verdana"/>
          <w:sz w:val="20"/>
          <w:szCs w:val="20"/>
        </w:rPr>
        <w:t>du 11 décembre 2019, art. 36 et art. 55, I, JO du 12 ; c. trav. </w:t>
      </w:r>
      <w:hyperlink r:id="rId11" w:history="1">
        <w:r w:rsidRPr="00B6434B">
          <w:rPr>
            <w:rStyle w:val="Lienhypertexte"/>
            <w:rFonts w:ascii="Verdana" w:hAnsi="Verdana"/>
            <w:color w:val="auto"/>
            <w:sz w:val="20"/>
            <w:szCs w:val="20"/>
          </w:rPr>
          <w:t>art. R. 1452-1</w:t>
        </w:r>
      </w:hyperlink>
      <w:r w:rsidRPr="00B6434B">
        <w:rPr>
          <w:rFonts w:ascii="Verdana" w:hAnsi="Verdana"/>
          <w:sz w:val="20"/>
          <w:szCs w:val="20"/>
        </w:rPr>
        <w:t> modifié). En d’autres termes, la réforme signe la fin de la comparution volontaire en conciliation.</w:t>
      </w:r>
    </w:p>
    <w:p w14:paraId="4A6AA933"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Diverses dispositions du code du travail sont modifiées en conséquence (c. trav. </w:t>
      </w:r>
      <w:hyperlink r:id="rId12" w:history="1">
        <w:r w:rsidRPr="00B6434B">
          <w:rPr>
            <w:rStyle w:val="Lienhypertexte"/>
            <w:rFonts w:ascii="Verdana" w:hAnsi="Verdana"/>
            <w:color w:val="auto"/>
            <w:sz w:val="20"/>
            <w:szCs w:val="20"/>
          </w:rPr>
          <w:t>art. R. 2315-15</w:t>
        </w:r>
      </w:hyperlink>
      <w:r w:rsidRPr="00B6434B">
        <w:rPr>
          <w:rFonts w:ascii="Verdana" w:hAnsi="Verdana"/>
          <w:sz w:val="20"/>
          <w:szCs w:val="20"/>
        </w:rPr>
        <w:t> modifié).</w:t>
      </w:r>
    </w:p>
    <w:p w14:paraId="78E9DA5F"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Style w:val="lev"/>
          <w:rFonts w:ascii="Verdana" w:hAnsi="Verdana"/>
          <w:sz w:val="20"/>
          <w:szCs w:val="20"/>
        </w:rPr>
        <w:t>Contenu de la requête</w:t>
      </w:r>
    </w:p>
    <w:p w14:paraId="3E6B6E57"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La requête est faite, remise ou adressée au greffe du CPH. Elle doit comporter toute une série de mentions, à peine de nullité, au nombre desquelles celles définies par le code de procédure civile.</w:t>
      </w:r>
    </w:p>
    <w:p w14:paraId="3A74D4F3"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À compter du 1er janvier 2020, ces mentions seront fixées par le code de procédure civile (c. proc. civ. </w:t>
      </w:r>
      <w:hyperlink r:id="rId13" w:history="1">
        <w:r w:rsidRPr="00B6434B">
          <w:rPr>
            <w:rStyle w:val="Lienhypertexte"/>
            <w:rFonts w:ascii="Verdana" w:hAnsi="Verdana"/>
            <w:color w:val="auto"/>
            <w:sz w:val="20"/>
            <w:szCs w:val="20"/>
          </w:rPr>
          <w:t>art. 54</w:t>
        </w:r>
      </w:hyperlink>
      <w:r w:rsidRPr="00B6434B">
        <w:rPr>
          <w:rFonts w:ascii="Verdana" w:hAnsi="Verdana"/>
          <w:sz w:val="20"/>
          <w:szCs w:val="20"/>
        </w:rPr>
        <w:t> et </w:t>
      </w:r>
      <w:hyperlink r:id="rId14" w:history="1">
        <w:r w:rsidRPr="00B6434B">
          <w:rPr>
            <w:rStyle w:val="Lienhypertexte"/>
            <w:rFonts w:ascii="Verdana" w:hAnsi="Verdana"/>
            <w:color w:val="auto"/>
            <w:sz w:val="20"/>
            <w:szCs w:val="20"/>
          </w:rPr>
          <w:t>57</w:t>
        </w:r>
      </w:hyperlink>
      <w:r w:rsidRPr="00B6434B">
        <w:rPr>
          <w:rFonts w:ascii="Verdana" w:hAnsi="Verdana"/>
          <w:sz w:val="20"/>
          <w:szCs w:val="20"/>
        </w:rPr>
        <w:t>, dans leur version en vigueur au </w:t>
      </w:r>
      <w:hyperlink r:id="rId15" w:history="1">
        <w:r w:rsidRPr="00B6434B">
          <w:rPr>
            <w:rStyle w:val="Lienhypertexte"/>
            <w:rFonts w:ascii="Verdana" w:hAnsi="Verdana"/>
            <w:color w:val="auto"/>
            <w:sz w:val="20"/>
            <w:szCs w:val="20"/>
          </w:rPr>
          <w:t>1</w:t>
        </w:r>
      </w:hyperlink>
      <w:r w:rsidRPr="00B6434B">
        <w:rPr>
          <w:rFonts w:ascii="Verdana" w:hAnsi="Verdana"/>
          <w:sz w:val="20"/>
          <w:szCs w:val="20"/>
        </w:rPr>
        <w:t>er janvier 2000 ; c. trav. </w:t>
      </w:r>
      <w:hyperlink r:id="rId16" w:history="1">
        <w:r w:rsidRPr="00B6434B">
          <w:rPr>
            <w:rStyle w:val="Lienhypertexte"/>
            <w:rFonts w:ascii="Verdana" w:hAnsi="Verdana"/>
            <w:color w:val="auto"/>
            <w:sz w:val="20"/>
            <w:szCs w:val="20"/>
          </w:rPr>
          <w:t>art. R. 1452-1</w:t>
        </w:r>
      </w:hyperlink>
      <w:r w:rsidRPr="00B6434B">
        <w:rPr>
          <w:rFonts w:ascii="Verdana" w:hAnsi="Verdana"/>
          <w:sz w:val="20"/>
          <w:szCs w:val="20"/>
        </w:rPr>
        <w:t> dans sa version en vigueur au 1er janvier 2000).</w:t>
      </w:r>
    </w:p>
    <w:p w14:paraId="2F1A43D9"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Pour mémoire, la requête est l'acte par lequel la juridiction, ici le conseil de prud’hommes, est saisie. La requête peut être faite par le demandeur seul, sans que son adversaire en ait été préalablement informé, mais elle peut aussi être remise ou adressée conjointement par les parties (c. proc. civ. </w:t>
      </w:r>
      <w:hyperlink r:id="rId17" w:history="1">
        <w:r w:rsidRPr="00B6434B">
          <w:rPr>
            <w:rStyle w:val="Lienhypertexte"/>
            <w:rFonts w:ascii="Verdana" w:hAnsi="Verdana"/>
            <w:color w:val="auto"/>
            <w:sz w:val="20"/>
            <w:szCs w:val="20"/>
          </w:rPr>
          <w:t>art. 54</w:t>
        </w:r>
      </w:hyperlink>
      <w:r w:rsidRPr="00B6434B">
        <w:rPr>
          <w:rFonts w:ascii="Verdana" w:hAnsi="Verdana"/>
          <w:sz w:val="20"/>
          <w:szCs w:val="20"/>
        </w:rPr>
        <w:t> et </w:t>
      </w:r>
      <w:hyperlink r:id="rId18" w:history="1">
        <w:r w:rsidRPr="00B6434B">
          <w:rPr>
            <w:rStyle w:val="Lienhypertexte"/>
            <w:rFonts w:ascii="Verdana" w:hAnsi="Verdana"/>
            <w:color w:val="auto"/>
            <w:sz w:val="20"/>
            <w:szCs w:val="20"/>
          </w:rPr>
          <w:t>57</w:t>
        </w:r>
      </w:hyperlink>
      <w:r w:rsidRPr="00B6434B">
        <w:rPr>
          <w:rFonts w:ascii="Verdana" w:hAnsi="Verdana"/>
          <w:sz w:val="20"/>
          <w:szCs w:val="20"/>
        </w:rPr>
        <w:t>).</w:t>
      </w:r>
    </w:p>
    <w:p w14:paraId="1DA99FF2"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Lorsqu’elle est formée par une seule partie (ex. : le salarié ou l’employeur), elle est bien entendu datée, signée et elle contient les éléments suivants.</w:t>
      </w:r>
    </w:p>
    <w:p w14:paraId="0F69BEAA"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 </w:t>
      </w:r>
      <w:r w:rsidRPr="00B6434B">
        <w:rPr>
          <w:rStyle w:val="lev"/>
          <w:rFonts w:ascii="Verdana" w:hAnsi="Verdana"/>
          <w:sz w:val="20"/>
          <w:szCs w:val="20"/>
        </w:rPr>
        <w:t>Identité du défendeur :</w:t>
      </w:r>
      <w:r w:rsidRPr="00B6434B">
        <w:rPr>
          <w:rFonts w:ascii="Verdana" w:hAnsi="Verdana"/>
          <w:sz w:val="20"/>
          <w:szCs w:val="20"/>
        </w:rPr>
        <w:t> la requête mentionne, sans changement, les informations relatives à l’identité du défendeur (nom, prénoms et domicile de la personne contre laquelle la demande est formée ou s'il s'agit d'une personne morale, de sa dénomination et de son siège social) (c. proc civ. art. 57).</w:t>
      </w:r>
    </w:p>
    <w:p w14:paraId="66C438A0"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w:t>
      </w:r>
      <w:r w:rsidRPr="00B6434B">
        <w:rPr>
          <w:rStyle w:val="lev"/>
          <w:rFonts w:ascii="Verdana" w:hAnsi="Verdana"/>
          <w:sz w:val="20"/>
          <w:szCs w:val="20"/>
        </w:rPr>
        <w:t> Identité du demandeur :</w:t>
      </w:r>
      <w:r w:rsidRPr="00B6434B">
        <w:rPr>
          <w:rFonts w:ascii="Verdana" w:hAnsi="Verdana"/>
          <w:sz w:val="20"/>
          <w:szCs w:val="20"/>
        </w:rPr>
        <w:t> la requête mentionne également les informations relatives à l’identité du demandeur. C’est ici qu’une nouveauté intervient : lorsqu'elle sera formée par voie électronique, la demande comportera également, à peine de nullité, les adresse électronique et numéro de téléphone mobile du demandeur lorsqu'il aura consenti à la dématérialisation ou de son avocat. Elle pourra comporter l'adresse électronique et le numéro de téléphone du défendeur.</w:t>
      </w:r>
    </w:p>
    <w:p w14:paraId="10BD4D29"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 </w:t>
      </w:r>
      <w:r w:rsidRPr="00B6434B">
        <w:rPr>
          <w:rStyle w:val="lev"/>
          <w:rFonts w:ascii="Verdana" w:hAnsi="Verdana"/>
          <w:sz w:val="20"/>
          <w:szCs w:val="20"/>
        </w:rPr>
        <w:t>Indication de la juridiction devant laquelle la demande est portée :</w:t>
      </w:r>
      <w:r w:rsidRPr="00B6434B">
        <w:rPr>
          <w:rFonts w:ascii="Verdana" w:hAnsi="Verdana"/>
          <w:sz w:val="20"/>
          <w:szCs w:val="20"/>
        </w:rPr>
        <w:t> ici, le conseil de prud’hommes, sans changement.</w:t>
      </w:r>
    </w:p>
    <w:p w14:paraId="4945DB1C"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 </w:t>
      </w:r>
      <w:r w:rsidRPr="00B6434B">
        <w:rPr>
          <w:rStyle w:val="lev"/>
          <w:rFonts w:ascii="Verdana" w:hAnsi="Verdana"/>
          <w:sz w:val="20"/>
          <w:szCs w:val="20"/>
        </w:rPr>
        <w:t>Objet de la demande et indication des pièces</w:t>
      </w:r>
      <w:r w:rsidRPr="00B6434B">
        <w:rPr>
          <w:rFonts w:ascii="Verdana" w:hAnsi="Verdana"/>
          <w:sz w:val="20"/>
          <w:szCs w:val="20"/>
        </w:rPr>
        <w:t> sur lesquelles la demande est fondée : sans changement (c. proc civ. art. 57 ; c. trav. </w:t>
      </w:r>
      <w:hyperlink r:id="rId19" w:history="1">
        <w:r w:rsidRPr="00B6434B">
          <w:rPr>
            <w:rStyle w:val="Lienhypertexte"/>
            <w:rFonts w:ascii="Verdana" w:hAnsi="Verdana"/>
            <w:color w:val="auto"/>
            <w:sz w:val="20"/>
            <w:szCs w:val="20"/>
          </w:rPr>
          <w:t>art. R. 1452-2</w:t>
        </w:r>
      </w:hyperlink>
      <w:r w:rsidRPr="00B6434B">
        <w:rPr>
          <w:rFonts w:ascii="Verdana" w:hAnsi="Verdana"/>
          <w:sz w:val="20"/>
          <w:szCs w:val="20"/>
        </w:rPr>
        <w:t>).</w:t>
      </w:r>
    </w:p>
    <w:p w14:paraId="17F3AA60"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Lorsqu'elle la requête est conjointe, elle indique en plus des mentions énoncées ci-dessus, les prétentions respectives des parties, les points sur lesquels elles sont en désaccord ainsi que leurs moyens respectifs (c. proc civ. art. 57).</w:t>
      </w:r>
    </w:p>
    <w:p w14:paraId="79DBD93F"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 </w:t>
      </w:r>
      <w:r w:rsidRPr="00B6434B">
        <w:rPr>
          <w:rStyle w:val="lev"/>
          <w:rFonts w:ascii="Verdana" w:hAnsi="Verdana"/>
          <w:sz w:val="20"/>
          <w:szCs w:val="20"/>
        </w:rPr>
        <w:t>Recherches de solutions amiables préalables :</w:t>
      </w:r>
      <w:r w:rsidRPr="00B6434B">
        <w:rPr>
          <w:rFonts w:ascii="Verdana" w:hAnsi="Verdana"/>
          <w:sz w:val="20"/>
          <w:szCs w:val="20"/>
        </w:rPr>
        <w:t> en procédure civile, il est imposé, dans certains cas, aux parties de tenter de régler leur litige via une conciliation, une médiation ou une procédure participative avant de saisir le juge. Le cas échéant, la requête devra mentionner, sous peine de nullité, les diligences entreprises en vue d'une résolution amiable du litige ou la justification de la dispense d'une telle tentative.</w:t>
      </w:r>
    </w:p>
    <w:p w14:paraId="022A44D2"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S’agissant de la procédure prud’homale, l’obligation de justifier de telles tentatives de règlements amiables ne s’applique pas selon nous. En matière prud’homale, la phase de conciliation est la première étape obligatoire de la procédure prud’homale devant le BCO, mais la tentative préalable d’un règlement amiable ne conditionne pas à notre avis la validité de la requête. Cela étant, il pourra être prudent de mentionner dans la requête les démarches entreprises pour trouver une solution amiable.</w:t>
      </w:r>
    </w:p>
    <w:p w14:paraId="2A9ED461"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 </w:t>
      </w:r>
      <w:r w:rsidRPr="00B6434B">
        <w:rPr>
          <w:rStyle w:val="lev"/>
          <w:rFonts w:ascii="Verdana" w:hAnsi="Verdana"/>
          <w:sz w:val="20"/>
          <w:szCs w:val="20"/>
        </w:rPr>
        <w:t>Indication des modalités de comparution</w:t>
      </w:r>
      <w:r w:rsidRPr="00B6434B">
        <w:rPr>
          <w:rFonts w:ascii="Verdana" w:hAnsi="Verdana"/>
          <w:sz w:val="20"/>
          <w:szCs w:val="20"/>
        </w:rPr>
        <w:t> devant la juridiction et précision que, faute pour le défendeur de comparaître, il s'expose à ce qu'un jugement soit rendu contre lui sur les seuls éléments fournis par son adversaire. Cette mention est inchangée.</w:t>
      </w:r>
    </w:p>
    <w:p w14:paraId="2A464789"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Style w:val="lev"/>
          <w:rFonts w:ascii="Verdana" w:hAnsi="Verdana"/>
          <w:sz w:val="20"/>
          <w:szCs w:val="20"/>
        </w:rPr>
        <w:lastRenderedPageBreak/>
        <w:t>Autres nouveautés pour la procédure prud’homale et la procédure civile</w:t>
      </w:r>
    </w:p>
    <w:p w14:paraId="65332962"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Le décret comporte d’autres nouveautés en matière de procédure prud’homale relatives notamment à la procédure de référé (c. trav. </w:t>
      </w:r>
      <w:hyperlink r:id="rId20" w:history="1">
        <w:r w:rsidRPr="00B6434B">
          <w:rPr>
            <w:rStyle w:val="Lienhypertexte"/>
            <w:rFonts w:ascii="Verdana" w:hAnsi="Verdana"/>
            <w:color w:val="auto"/>
            <w:sz w:val="20"/>
            <w:szCs w:val="20"/>
          </w:rPr>
          <w:t>art. R. 1455-9</w:t>
        </w:r>
      </w:hyperlink>
      <w:r w:rsidRPr="00B6434B">
        <w:rPr>
          <w:rFonts w:ascii="Verdana" w:hAnsi="Verdana"/>
          <w:sz w:val="20"/>
          <w:szCs w:val="20"/>
        </w:rPr>
        <w:t> modifié).</w:t>
      </w:r>
    </w:p>
    <w:p w14:paraId="76C793E7"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S’agissant de la procédure civile, le décret 2019-1333 poursuit la mise en œuvre de la fusion des tribunaux d’instance et des tribunaux de grande instance, à compter du 1</w:t>
      </w:r>
      <w:r w:rsidRPr="00B6434B">
        <w:rPr>
          <w:rFonts w:ascii="Verdana" w:hAnsi="Verdana"/>
          <w:sz w:val="20"/>
          <w:szCs w:val="20"/>
          <w:vertAlign w:val="superscript"/>
        </w:rPr>
        <w:t>er</w:t>
      </w:r>
      <w:r w:rsidRPr="00B6434B">
        <w:rPr>
          <w:rFonts w:ascii="Verdana" w:hAnsi="Verdana"/>
          <w:sz w:val="20"/>
          <w:szCs w:val="20"/>
        </w:rPr>
        <w:t> janvier 2020, en décrivant la procédure à suivre devant le tribunal judiciaire.</w:t>
      </w:r>
    </w:p>
    <w:p w14:paraId="6181F60F"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Parmi les nombreuses mesures du décret, soulignons notamment les points suivants.</w:t>
      </w:r>
    </w:p>
    <w:p w14:paraId="51C98214"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 </w:t>
      </w:r>
      <w:r w:rsidRPr="00B6434B">
        <w:rPr>
          <w:rStyle w:val="lev"/>
          <w:rFonts w:ascii="Verdana" w:hAnsi="Verdana"/>
          <w:sz w:val="20"/>
          <w:szCs w:val="20"/>
        </w:rPr>
        <w:t>La simplification de la saisine du futur TJ :</w:t>
      </w:r>
      <w:r w:rsidRPr="00B6434B">
        <w:rPr>
          <w:rFonts w:ascii="Verdana" w:hAnsi="Verdana"/>
          <w:sz w:val="20"/>
          <w:szCs w:val="20"/>
        </w:rPr>
        <w:t xml:space="preserve"> par assignation, pour les demandes supérieurs </w:t>
      </w:r>
      <w:proofErr w:type="gramStart"/>
      <w:r w:rsidRPr="00B6434B">
        <w:rPr>
          <w:rFonts w:ascii="Verdana" w:hAnsi="Verdana"/>
          <w:sz w:val="20"/>
          <w:szCs w:val="20"/>
        </w:rPr>
        <w:t>à  5000</w:t>
      </w:r>
      <w:proofErr w:type="gramEnd"/>
      <w:r w:rsidRPr="00B6434B">
        <w:rPr>
          <w:rFonts w:ascii="Verdana" w:hAnsi="Verdana"/>
          <w:sz w:val="20"/>
          <w:szCs w:val="20"/>
        </w:rPr>
        <w:t xml:space="preserve"> €, par requête pour les demandes inférieures ou égales à 5000 € (décret, art. 1 et 4 ; c. proc. civ. </w:t>
      </w:r>
      <w:hyperlink r:id="rId21" w:history="1">
        <w:r w:rsidRPr="00B6434B">
          <w:rPr>
            <w:rStyle w:val="Lienhypertexte"/>
            <w:rFonts w:ascii="Verdana" w:hAnsi="Verdana"/>
            <w:color w:val="auto"/>
            <w:sz w:val="20"/>
            <w:szCs w:val="20"/>
          </w:rPr>
          <w:t>art. 54</w:t>
        </w:r>
      </w:hyperlink>
      <w:r w:rsidRPr="00B6434B">
        <w:rPr>
          <w:rFonts w:ascii="Verdana" w:hAnsi="Verdana"/>
          <w:sz w:val="20"/>
          <w:szCs w:val="20"/>
        </w:rPr>
        <w:t> à 58 nouveaux et </w:t>
      </w:r>
      <w:hyperlink r:id="rId22" w:history="1">
        <w:r w:rsidRPr="00B6434B">
          <w:rPr>
            <w:rStyle w:val="Lienhypertexte"/>
            <w:rFonts w:ascii="Verdana" w:hAnsi="Verdana"/>
            <w:color w:val="auto"/>
            <w:sz w:val="20"/>
            <w:szCs w:val="20"/>
          </w:rPr>
          <w:t>750</w:t>
        </w:r>
      </w:hyperlink>
      <w:r w:rsidRPr="00B6434B">
        <w:rPr>
          <w:rFonts w:ascii="Verdana" w:hAnsi="Verdana"/>
          <w:sz w:val="20"/>
          <w:szCs w:val="20"/>
        </w:rPr>
        <w:t> et s. modifiés).</w:t>
      </w:r>
    </w:p>
    <w:p w14:paraId="3A9010EF"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 </w:t>
      </w:r>
      <w:r w:rsidRPr="00B6434B">
        <w:rPr>
          <w:rStyle w:val="lev"/>
          <w:rFonts w:ascii="Verdana" w:hAnsi="Verdana"/>
          <w:sz w:val="20"/>
          <w:szCs w:val="20"/>
        </w:rPr>
        <w:t>L’instauration du principe de l’exécution provisoire de droit des décisions de justice de première instance</w:t>
      </w:r>
      <w:r w:rsidRPr="00B6434B">
        <w:rPr>
          <w:rFonts w:ascii="Verdana" w:hAnsi="Verdana"/>
          <w:sz w:val="20"/>
          <w:szCs w:val="20"/>
        </w:rPr>
        <w:t> (décret art. 3) : attention, la procédure prud’homale continue de relever de règles spécifiques (décret art. 3 et 36 ; c. trav. </w:t>
      </w:r>
      <w:hyperlink r:id="rId23" w:history="1">
        <w:r w:rsidRPr="00B6434B">
          <w:rPr>
            <w:rStyle w:val="Lienhypertexte"/>
            <w:rFonts w:ascii="Verdana" w:hAnsi="Verdana"/>
            <w:color w:val="auto"/>
            <w:sz w:val="20"/>
            <w:szCs w:val="20"/>
          </w:rPr>
          <w:t>art. R. 1454-28</w:t>
        </w:r>
      </w:hyperlink>
      <w:r w:rsidRPr="00B6434B">
        <w:rPr>
          <w:rFonts w:ascii="Verdana" w:hAnsi="Verdana"/>
          <w:sz w:val="20"/>
          <w:szCs w:val="20"/>
        </w:rPr>
        <w:t> modifié).</w:t>
      </w:r>
    </w:p>
    <w:p w14:paraId="43E6683B"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 </w:t>
      </w:r>
      <w:r w:rsidRPr="00B6434B">
        <w:rPr>
          <w:rStyle w:val="lev"/>
          <w:rFonts w:ascii="Verdana" w:hAnsi="Verdana"/>
          <w:sz w:val="20"/>
          <w:szCs w:val="20"/>
        </w:rPr>
        <w:t>Le principe de la représentation obligatoire par un avocat devant le TJ</w:t>
      </w:r>
      <w:r w:rsidRPr="00B6434B">
        <w:rPr>
          <w:rFonts w:ascii="Verdana" w:hAnsi="Verdana"/>
          <w:sz w:val="20"/>
          <w:szCs w:val="20"/>
        </w:rPr>
        <w:t>, sauf dispositions contraires (décret, art. 4 ; c. proc. civ. </w:t>
      </w:r>
      <w:hyperlink r:id="rId24" w:history="1">
        <w:r w:rsidRPr="00B6434B">
          <w:rPr>
            <w:rStyle w:val="Lienhypertexte"/>
            <w:rFonts w:ascii="Verdana" w:hAnsi="Verdana"/>
            <w:color w:val="auto"/>
            <w:sz w:val="20"/>
            <w:szCs w:val="20"/>
          </w:rPr>
          <w:t>art. 760</w:t>
        </w:r>
      </w:hyperlink>
      <w:r w:rsidRPr="00B6434B">
        <w:rPr>
          <w:rFonts w:ascii="Verdana" w:hAnsi="Verdana"/>
          <w:sz w:val="20"/>
          <w:szCs w:val="20"/>
        </w:rPr>
        <w:t> et s. modifiés). Pour rappel, la représentation par un avocat ou un défenseur syndical n’est pas obligatoire devant le conseil de prud’hommes, elle l’est en appel.</w:t>
      </w:r>
    </w:p>
    <w:p w14:paraId="79397D3E"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Ces nouveautés auront un impact sur certains contentieux sociaux. En effet, le futur TJ se voyant transférer les compétences des TI et des TGI, il sera compétent pour certains contentieux concernant les employeurs, comme celui de l’élection du comité social et économique (voir sur RF Social : </w:t>
      </w:r>
      <w:hyperlink r:id="rId25" w:history="1">
        <w:r w:rsidRPr="00B6434B">
          <w:rPr>
            <w:rStyle w:val="Lienhypertexte"/>
            <w:rFonts w:ascii="Verdana" w:hAnsi="Verdana"/>
            <w:color w:val="auto"/>
            <w:sz w:val="20"/>
            <w:szCs w:val="20"/>
          </w:rPr>
          <w:t>https://revuefiduciaire.grouperf.com/actu/44202.html</w:t>
        </w:r>
      </w:hyperlink>
      <w:r w:rsidRPr="00B6434B">
        <w:rPr>
          <w:rFonts w:ascii="Verdana" w:hAnsi="Verdana"/>
          <w:sz w:val="20"/>
          <w:szCs w:val="20"/>
        </w:rPr>
        <w:t> ; sur Social-expert : </w:t>
      </w:r>
      <w:hyperlink r:id="rId26" w:history="1">
        <w:r w:rsidRPr="00B6434B">
          <w:rPr>
            <w:rStyle w:val="Lienhypertexte"/>
            <w:rFonts w:ascii="Verdana" w:hAnsi="Verdana"/>
            <w:color w:val="auto"/>
            <w:sz w:val="20"/>
            <w:szCs w:val="20"/>
          </w:rPr>
          <w:t>https://www.social-expert.com/actualites/fil-quotidien/article/id/flash-social-44202)</w:t>
        </w:r>
      </w:hyperlink>
      <w:r w:rsidRPr="00B6434B">
        <w:rPr>
          <w:rFonts w:ascii="Verdana" w:hAnsi="Verdana"/>
          <w:sz w:val="20"/>
          <w:szCs w:val="20"/>
        </w:rPr>
        <w:t>.</w:t>
      </w:r>
    </w:p>
    <w:p w14:paraId="2D869D40" w14:textId="77777777" w:rsidR="00B6434B" w:rsidRPr="00B6434B" w:rsidRDefault="00B6434B" w:rsidP="00B6434B">
      <w:pPr>
        <w:pStyle w:val="NormalWeb"/>
        <w:spacing w:before="150" w:beforeAutospacing="0" w:after="0" w:afterAutospacing="0"/>
        <w:ind w:left="150" w:right="150"/>
        <w:jc w:val="both"/>
        <w:rPr>
          <w:rFonts w:ascii="Verdana" w:hAnsi="Verdana"/>
          <w:sz w:val="20"/>
          <w:szCs w:val="20"/>
        </w:rPr>
      </w:pPr>
      <w:r w:rsidRPr="00B6434B">
        <w:rPr>
          <w:rFonts w:ascii="Verdana" w:hAnsi="Verdana"/>
          <w:sz w:val="20"/>
          <w:szCs w:val="20"/>
        </w:rPr>
        <w:t>Signalons enfin que la procédure de référé en la forme, devenu la procédure accélérée au fond, fait l’objet d’un décret spécifique, que nous commenterons ultérieurement (décret 2019-419 du 20 décembre 2019, JO du 22).</w:t>
      </w:r>
    </w:p>
    <w:p w14:paraId="204B5F1E" w14:textId="77777777" w:rsidR="00B6434B" w:rsidRPr="00B6434B" w:rsidRDefault="00B6434B" w:rsidP="00B6434B">
      <w:pPr>
        <w:pStyle w:val="NormalWeb"/>
        <w:spacing w:before="150" w:beforeAutospacing="0" w:after="15" w:afterAutospacing="0"/>
        <w:ind w:left="150" w:right="150"/>
        <w:rPr>
          <w:rFonts w:ascii="Verdana" w:hAnsi="Verdana"/>
          <w:i/>
          <w:iCs/>
          <w:sz w:val="20"/>
          <w:szCs w:val="20"/>
        </w:rPr>
      </w:pPr>
      <w:r w:rsidRPr="00B6434B">
        <w:rPr>
          <w:rFonts w:ascii="Verdana" w:hAnsi="Verdana"/>
          <w:i/>
          <w:iCs/>
          <w:sz w:val="20"/>
          <w:szCs w:val="20"/>
        </w:rPr>
        <w:t>Décret </w:t>
      </w:r>
      <w:hyperlink r:id="rId27" w:history="1">
        <w:r w:rsidRPr="00B6434B">
          <w:rPr>
            <w:rStyle w:val="Lienhypertexte"/>
            <w:rFonts w:ascii="Verdana" w:hAnsi="Verdana"/>
            <w:color w:val="auto"/>
            <w:sz w:val="20"/>
            <w:szCs w:val="20"/>
          </w:rPr>
          <w:t>2019-1333 </w:t>
        </w:r>
      </w:hyperlink>
      <w:r w:rsidRPr="00B6434B">
        <w:rPr>
          <w:rFonts w:ascii="Verdana" w:hAnsi="Verdana"/>
          <w:i/>
          <w:iCs/>
          <w:sz w:val="20"/>
          <w:szCs w:val="20"/>
        </w:rPr>
        <w:t>du 11 décembre 2019, JO du 12</w:t>
      </w:r>
    </w:p>
    <w:bookmarkEnd w:id="0"/>
    <w:p w14:paraId="78ADD71F" w14:textId="77777777" w:rsidR="00D426FE" w:rsidRPr="00B6434B" w:rsidRDefault="00D426FE" w:rsidP="00B6434B"/>
    <w:sectPr w:rsidR="00D426FE" w:rsidRPr="00B6434B" w:rsidSect="00D426FE">
      <w:headerReference w:type="even" r:id="rId28"/>
      <w:headerReference w:type="default" r:id="rId29"/>
      <w:footerReference w:type="even" r:id="rId30"/>
      <w:footerReference w:type="default" r:id="rId31"/>
      <w:headerReference w:type="first" r:id="rId32"/>
      <w:footerReference w:type="first" r:id="rId33"/>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2053" w14:textId="77777777" w:rsidR="00B6434B" w:rsidRDefault="00B643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59E9" w14:textId="77777777" w:rsidR="00B6434B" w:rsidRDefault="00B643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6998" w14:textId="77777777" w:rsidR="00B6434B" w:rsidRDefault="00B643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937B" w14:textId="77777777" w:rsidR="00B6434B" w:rsidRDefault="00B643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C82A3" w14:textId="77777777" w:rsidR="00B6434B" w:rsidRDefault="00B643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B6434B"/>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 w:type="character" w:styleId="Lienhypertexte">
    <w:name w:val="Hyperlink"/>
    <w:basedOn w:val="Policepardfaut"/>
    <w:uiPriority w:val="99"/>
    <w:semiHidden/>
    <w:unhideWhenUsed/>
    <w:rsid w:val="00B6434B"/>
    <w:rPr>
      <w:color w:val="0000FF"/>
      <w:u w:val="single"/>
    </w:rPr>
  </w:style>
  <w:style w:type="paragraph" w:styleId="NormalWeb">
    <w:name w:val="Normal (Web)"/>
    <w:basedOn w:val="Normal"/>
    <w:uiPriority w:val="99"/>
    <w:semiHidden/>
    <w:unhideWhenUsed/>
    <w:rsid w:val="00B6434B"/>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B64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3A__rfedition.grouperf.com_lien-5Fspad_-3Fbase-3DLEGI-26orig-3DREVUE-5FRF-5FFH-26code-3DLEGITEXT000006070716-26numero-3D54-26idspad-3DLEGIARTI000039623162&amp;d=DwMFaQ&amp;c=Z96x8jGkxccf5DH9xuHxeg&amp;r=n-gon5a4SOhoTPYpEA4bA_FEgWj8BjcvYL6TaanvPKE&amp;m=csllSECWE625Cu5w2QlSrHNGAaMfn_KHsALwT2UfVzU&amp;s=dBdYjv2K16oeJpYBkuJWpdJs4Oyswr4jnhdlkAO71e0&amp;e=" TargetMode="External"/><Relationship Id="rId18" Type="http://schemas.openxmlformats.org/officeDocument/2006/relationships/hyperlink" Target="https://urldefense.proofpoint.com/v2/url?u=http-3A__rfedition.grouperf.com_lien-5Fspad_-3Fbase-3DLEGI-26orig-3DREVUE-5FRF-5FFH-26code-3DLEGITEXT000006070716-26numero-3D57-26idspad-3DLEGIARTI000039623150&amp;d=DwMFaQ&amp;c=Z96x8jGkxccf5DH9xuHxeg&amp;r=n-gon5a4SOhoTPYpEA4bA_FEgWj8BjcvYL6TaanvPKE&amp;m=csllSECWE625Cu5w2QlSrHNGAaMfn_KHsALwT2UfVzU&amp;s=0ZYnmURSu_Nsr5AuMtyJPm79OCRp4EhnXERfwr0ewtg&amp;e=" TargetMode="External"/><Relationship Id="rId26" Type="http://schemas.openxmlformats.org/officeDocument/2006/relationships/hyperlink" Target="https://urldefense.proofpoint.com/v2/url?u=https-3A__www.social-2Dexpert.com_actualites_fil-2Dquotidien_article_id_flash-2Dsocial-2D44202-2529&amp;d=DwMFaQ&amp;c=Z96x8jGkxccf5DH9xuHxeg&amp;r=n-gon5a4SOhoTPYpEA4bA_FEgWj8BjcvYL6TaanvPKE&amp;m=csllSECWE625Cu5w2QlSrHNGAaMfn_KHsALwT2UfVzU&amp;s=Y2QeDFPNJQsUu6TlCtuVQ4PMLkZsqSwv24DkyG7wXD0&amp;e=" TargetMode="External"/><Relationship Id="rId3" Type="http://schemas.openxmlformats.org/officeDocument/2006/relationships/customXml" Target="../customXml/item3.xml"/><Relationship Id="rId21" Type="http://schemas.openxmlformats.org/officeDocument/2006/relationships/hyperlink" Target="https://urldefense.proofpoint.com/v2/url?u=http-3A__rfedition.grouperf.com_lien-5Fspad_-3Fbase-3DLEGI-26orig-3DREVUE-5FRF-5FFH-26code-3DLEGITEXT000006070716-26numero-3D54-26idspad-3DLEGIARTI000039623162&amp;d=DwMFaQ&amp;c=Z96x8jGkxccf5DH9xuHxeg&amp;r=n-gon5a4SOhoTPYpEA4bA_FEgWj8BjcvYL6TaanvPKE&amp;m=csllSECWE625Cu5w2QlSrHNGAaMfn_KHsALwT2UfVzU&amp;s=dBdYjv2K16oeJpYBkuJWpdJs4Oyswr4jnhdlkAO71e0&amp;e="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rldefense.proofpoint.com/v2/url?u=http-3A__rfedition.grouperf.com_lien-5Fspad_-3Fbase-3DLEGI-26orig-3DREVUE-5FRF-5FFH-26code-3DLEGITEXT000006072050-26numero-3DR2315-2D15-26idspad-3DLEGIARTI000036419602&amp;d=DwMFaQ&amp;c=Z96x8jGkxccf5DH9xuHxeg&amp;r=n-gon5a4SOhoTPYpEA4bA_FEgWj8BjcvYL6TaanvPKE&amp;m=csllSECWE625Cu5w2QlSrHNGAaMfn_KHsALwT2UfVzU&amp;s=w2qOdEy9ZkmgCz-3QZQshbMN29-rbiwgpKGBmAN3ssM&amp;e=" TargetMode="External"/><Relationship Id="rId17" Type="http://schemas.openxmlformats.org/officeDocument/2006/relationships/hyperlink" Target="https://urldefense.proofpoint.com/v2/url?u=http-3A__rfedition.grouperf.com_lien-5Fspad_-3Fbase-3DLEGI-26orig-3DREVUE-5FRF-5FFH-26code-3DLEGITEXT000006070716-26numero-3D54-26idspad-3DLEGIARTI000039623162&amp;d=DwMFaQ&amp;c=Z96x8jGkxccf5DH9xuHxeg&amp;r=n-gon5a4SOhoTPYpEA4bA_FEgWj8BjcvYL6TaanvPKE&amp;m=csllSECWE625Cu5w2QlSrHNGAaMfn_KHsALwT2UfVzU&amp;s=dBdYjv2K16oeJpYBkuJWpdJs4Oyswr4jnhdlkAO71e0&amp;e=" TargetMode="External"/><Relationship Id="rId25" Type="http://schemas.openxmlformats.org/officeDocument/2006/relationships/hyperlink" Target="https://urldefense.proofpoint.com/v2/url?u=https-3A__revuefiduciaire.grouperf.com_actu_44202.html&amp;d=DwMFaQ&amp;c=Z96x8jGkxccf5DH9xuHxeg&amp;r=n-gon5a4SOhoTPYpEA4bA_FEgWj8BjcvYL6TaanvPKE&amp;m=csllSECWE625Cu5w2QlSrHNGAaMfn_KHsALwT2UfVzU&amp;s=tSX--oZf2vDISpLbp4GACnE9EjUyacdPIQ7g3Ft8J6o&amp;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urldefense.proofpoint.com/v2/url?u=http-3A__rfedition.grouperf.com_lien-5Fspad_-3Fbase-3DLEGI-26orig-3DREVUE-5FRF-5FFH-26code-3DLEGITEXT000006072050-26numero-3DR1452-2D1-26idspad-3DLEGIARTI000039624973&amp;d=DwMFaQ&amp;c=Z96x8jGkxccf5DH9xuHxeg&amp;r=n-gon5a4SOhoTPYpEA4bA_FEgWj8BjcvYL6TaanvPKE&amp;m=csllSECWE625Cu5w2QlSrHNGAaMfn_KHsALwT2UfVzU&amp;s=8tRE-DoxFkSX4pxgp000KUCYXHebG7_R5l3Aqag5u5U&amp;e=" TargetMode="External"/><Relationship Id="rId20" Type="http://schemas.openxmlformats.org/officeDocument/2006/relationships/hyperlink" Target="https://urldefense.proofpoint.com/v2/url?u=http-3A__rfedition.grouperf.com_lien-5Fspad_-3Fbase-3DLEGI-26orig-3DREVUE-5FRF-5FFH-26code-3DLEGITEXT000006072050-26numero-3DR1455-2D9-26idspad-3DLEGIARTI000039624958&amp;d=DwMFaQ&amp;c=Z96x8jGkxccf5DH9xuHxeg&amp;r=n-gon5a4SOhoTPYpEA4bA_FEgWj8BjcvYL6TaanvPKE&amp;m=csllSECWE625Cu5w2QlSrHNGAaMfn_KHsALwT2UfVzU&amp;s=g1GaCcKjQZ_XvzHUHKIfAdlsqwZi-iD7fJR1phOCSO0&amp;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3A__rfedition.grouperf.com_lien-5Fspad_-3Fbase-3DLEGI-26orig-3DREVUE-5FRF-5FFH-26code-3DLEGITEXT000006072050-26numero-3DR1452-2D1-26idspad-3DLEGIARTI000039624973&amp;d=DwMFaQ&amp;c=Z96x8jGkxccf5DH9xuHxeg&amp;r=n-gon5a4SOhoTPYpEA4bA_FEgWj8BjcvYL6TaanvPKE&amp;m=csllSECWE625Cu5w2QlSrHNGAaMfn_KHsALwT2UfVzU&amp;s=8tRE-DoxFkSX4pxgp000KUCYXHebG7_R5l3Aqag5u5U&amp;e=" TargetMode="External"/><Relationship Id="rId24" Type="http://schemas.openxmlformats.org/officeDocument/2006/relationships/hyperlink" Target="https://urldefense.proofpoint.com/v2/url?u=http-3A__rfedition.grouperf.com_lien-5Fspad_-3Fbase-3DLEGI-26orig-3DREVUE-5FRF-5FFH-26code-3DLEGITEXT000006070716-26numero-3D760-26idspad-3DLEGIARTI000039623478&amp;d=DwMFaQ&amp;c=Z96x8jGkxccf5DH9xuHxeg&amp;r=n-gon5a4SOhoTPYpEA4bA_FEgWj8BjcvYL6TaanvPKE&amp;m=csllSECWE625Cu5w2QlSrHNGAaMfn_KHsALwT2UfVzU&amp;s=NRRf8_jWH4vnXSyUHlf5icxT4_AJKtgejS8p5gi3PLY&amp;e="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urldefense.proofpoint.com/v2/url?u=http-3A__rfedition.grouperf.com_lien-5Fspad_-3Fbase-3DLEGI-26orig-3DREVUE-5FRF-5FFH-26code-3DLEGITEXT000006070716-26numero-3D1-26idspad-3DLEGIARTI000006410094&amp;d=DwMFaQ&amp;c=Z96x8jGkxccf5DH9xuHxeg&amp;r=n-gon5a4SOhoTPYpEA4bA_FEgWj8BjcvYL6TaanvPKE&amp;m=csllSECWE625Cu5w2QlSrHNGAaMfn_KHsALwT2UfVzU&amp;s=V-8BQha61zxheT8Z0Aux3WyxTxkv3pYdlNpLibVbBu8&amp;e=" TargetMode="External"/><Relationship Id="rId23" Type="http://schemas.openxmlformats.org/officeDocument/2006/relationships/hyperlink" Target="https://urldefense.proofpoint.com/v2/url?u=http-3A__rfedition.grouperf.com_lien-5Fspad_-3Fbase-3DLEGI-26orig-3DREVUE-5FRF-5FFH-26code-3DLEGITEXT000006072050-26numero-3DR1454-2D28-26idspad-3DLEGIARTI000039624962&amp;d=DwMFaQ&amp;c=Z96x8jGkxccf5DH9xuHxeg&amp;r=n-gon5a4SOhoTPYpEA4bA_FEgWj8BjcvYL6TaanvPKE&amp;m=csllSECWE625Cu5w2QlSrHNGAaMfn_KHsALwT2UfVzU&amp;s=YVlaE8mNrAjJMuV0xafAVecjPeHuT-exBK-JskaBdeI&amp;e=" TargetMode="External"/><Relationship Id="rId28" Type="http://schemas.openxmlformats.org/officeDocument/2006/relationships/header" Target="header1.xml"/><Relationship Id="rId10" Type="http://schemas.openxmlformats.org/officeDocument/2006/relationships/hyperlink" Target="https://urldefense.proofpoint.com/v2/url?u=http-3A__rfedition.grouperf.com_lien-5Fspad_-3Fbase-3DJORF-26orig-3DREVUE-5FRF-5FFH-26date-3D2019-2D12-2D11-26numero-3D2019-2D1333-2520-26etat-5Finitial-3DJORFTEXT000039480084-26etat-5Fmaj-3DLEGITEXT000039482301&amp;d=DwMFaQ&amp;c=Z96x8jGkxccf5DH9xuHxeg&amp;r=n-gon5a4SOhoTPYpEA4bA_FEgWj8BjcvYL6TaanvPKE&amp;m=csllSECWE625Cu5w2QlSrHNGAaMfn_KHsALwT2UfVzU&amp;s=jlJqEQliYivHQoBPsxfNYOOYLIVgALj5NDWTLeD4CGw&amp;e=" TargetMode="External"/><Relationship Id="rId19" Type="http://schemas.openxmlformats.org/officeDocument/2006/relationships/hyperlink" Target="https://urldefense.proofpoint.com/v2/url?u=http-3A__rfedition.grouperf.com_lien-5Fspad_-3Fbase-3DLEGI-26orig-3DREVUE-5FRF-5FFH-26code-3DLEGITEXT000006072050-26numero-3DR1452-2D2-26idspad-3DLEGIARTI000039624969&amp;d=DwMFaQ&amp;c=Z96x8jGkxccf5DH9xuHxeg&amp;r=n-gon5a4SOhoTPYpEA4bA_FEgWj8BjcvYL6TaanvPKE&amp;m=csllSECWE625Cu5w2QlSrHNGAaMfn_KHsALwT2UfVzU&amp;s=4gECgn_GcroG56S6qZv2hed8KOBv-BRpn95CpuEvx6o&amp;e="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3A__rfedition.grouperf.com_lien-5Fspad_-3Fbase-3DLEGI-26orig-3DREVUE-5FRF-5FFH-26code-3DLEGITEXT000006070716-26numero-3D57-26idspad-3DLEGIARTI000039623150&amp;d=DwMFaQ&amp;c=Z96x8jGkxccf5DH9xuHxeg&amp;r=n-gon5a4SOhoTPYpEA4bA_FEgWj8BjcvYL6TaanvPKE&amp;m=csllSECWE625Cu5w2QlSrHNGAaMfn_KHsALwT2UfVzU&amp;s=0ZYnmURSu_Nsr5AuMtyJPm79OCRp4EhnXERfwr0ewtg&amp;e=" TargetMode="External"/><Relationship Id="rId22" Type="http://schemas.openxmlformats.org/officeDocument/2006/relationships/hyperlink" Target="https://urldefense.proofpoint.com/v2/url?u=http-3A__rfedition.grouperf.com_lien-5Fspad_-3Fbase-3DLEGI-26orig-3DREVUE-5FRF-5FFH-26code-3DLEGITEXT000006070716-26numero-3D750-26idspad-3DLEGIARTI000039623523&amp;d=DwMFaQ&amp;c=Z96x8jGkxccf5DH9xuHxeg&amp;r=n-gon5a4SOhoTPYpEA4bA_FEgWj8BjcvYL6TaanvPKE&amp;m=csllSECWE625Cu5w2QlSrHNGAaMfn_KHsALwT2UfVzU&amp;s=M9xumruOkh5t32M_58qfEa5ERexa-UgF2Mn7arXzWaY&amp;e=" TargetMode="External"/><Relationship Id="rId27" Type="http://schemas.openxmlformats.org/officeDocument/2006/relationships/hyperlink" Target="https://urldefense.proofpoint.com/v2/url?u=http-3A__rfedition.grouperf.com_lien-5Fspad_-3Fbase-3DJORF-26orig-3DREVUE-5FRF-5FFH-26date-3D2019-2D12-2D11-26numero-3D2019-2D1333-2520-26etat-5Finitial-3DJORFTEXT000039480084-26etat-5Fmaj-3DLEGITEXT000039482301&amp;d=DwMFaQ&amp;c=Z96x8jGkxccf5DH9xuHxeg&amp;r=n-gon5a4SOhoTPYpEA4bA_FEgWj8BjcvYL6TaanvPKE&amp;m=csllSECWE625Cu5w2QlSrHNGAaMfn_KHsALwT2UfVzU&amp;s=jlJqEQliYivHQoBPsxfNYOOYLIVgALj5NDWTLeD4CGw&amp;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schemas.microsoft.com/office/2006/documentManagement/types"/>
    <ds:schemaRef ds:uri="96238137-54cb-4b23-8002-3ec04bb41ce8"/>
    <ds:schemaRef ds:uri="9916e120-d7f8-4fa5-b4b3-ef5fa48b1c67"/>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2086</Words>
  <Characters>11479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2</cp:revision>
  <dcterms:created xsi:type="dcterms:W3CDTF">2020-02-06T16:36:00Z</dcterms:created>
  <dcterms:modified xsi:type="dcterms:W3CDTF">2020-02-06T16:36:00Z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