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5B95" w14:textId="77777777" w:rsidR="00EC2A60" w:rsidRPr="00EC2A60" w:rsidRDefault="00EC2A60" w:rsidP="00EC2A60">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bookmarkStart w:id="0" w:name="_GoBack"/>
      <w:r w:rsidRPr="00EC2A60">
        <w:rPr>
          <w:rFonts w:ascii="Trebuchet MS" w:eastAsia="Times New Roman" w:hAnsi="Trebuchet MS" w:cs="Times New Roman"/>
          <w:caps/>
          <w:color w:val="000000"/>
          <w:spacing w:val="-2"/>
          <w:kern w:val="36"/>
          <w:sz w:val="53"/>
          <w:szCs w:val="53"/>
          <w:lang w:eastAsia="fr-FR"/>
        </w:rPr>
        <w:t xml:space="preserve">CONGÉ MATERNITÉ : TOUTES LES PRIMES </w:t>
      </w:r>
      <w:bookmarkEnd w:id="0"/>
      <w:r w:rsidRPr="00EC2A60">
        <w:rPr>
          <w:rFonts w:ascii="Trebuchet MS" w:eastAsia="Times New Roman" w:hAnsi="Trebuchet MS" w:cs="Times New Roman"/>
          <w:caps/>
          <w:color w:val="000000"/>
          <w:spacing w:val="-2"/>
          <w:kern w:val="36"/>
          <w:sz w:val="53"/>
          <w:szCs w:val="53"/>
          <w:lang w:eastAsia="fr-FR"/>
        </w:rPr>
        <w:t>N’ONT PAS À ÊTRE VERSÉES À LA SALARIÉE</w:t>
      </w:r>
    </w:p>
    <w:p w14:paraId="52F624EC" w14:textId="77777777" w:rsidR="00EC2A60" w:rsidRPr="00EC2A60" w:rsidRDefault="00EC2A60" w:rsidP="00EC2A60">
      <w:pPr>
        <w:shd w:val="clear" w:color="auto" w:fill="FFFFFF"/>
        <w:spacing w:line="288" w:lineRule="atLeast"/>
        <w:rPr>
          <w:rFonts w:ascii="Helvetica" w:eastAsia="Times New Roman" w:hAnsi="Helvetica" w:cs="Helvetica"/>
          <w:b/>
          <w:bCs/>
          <w:color w:val="333333"/>
          <w:sz w:val="29"/>
          <w:szCs w:val="29"/>
          <w:lang w:eastAsia="fr-FR"/>
        </w:rPr>
      </w:pPr>
      <w:r w:rsidRPr="00EC2A60">
        <w:rPr>
          <w:rFonts w:ascii="Helvetica" w:eastAsia="Times New Roman" w:hAnsi="Helvetica" w:cs="Helvetica"/>
          <w:b/>
          <w:bCs/>
          <w:color w:val="333333"/>
          <w:sz w:val="29"/>
          <w:szCs w:val="29"/>
          <w:lang w:eastAsia="fr-FR"/>
        </w:rPr>
        <w:t>Sous couvert de jurisprudence européenne en la matière, la Cour de cassation juge que n’est pas victime de discrimination une salariée qui, du seul fait de son congé maternité, n’a pas perçu une prime, dès lors que celle-ci est expressément subordonnée à la participation effective à une activité de l’entreprise et répond à des critères d’attribution objectifs, mesurables et licites. </w:t>
      </w:r>
      <w:r w:rsidRPr="00EC2A60">
        <w:rPr>
          <w:rFonts w:ascii="Helvetica" w:eastAsia="Times New Roman" w:hAnsi="Helvetica" w:cs="Helvetica"/>
          <w:b/>
          <w:bCs/>
          <w:i/>
          <w:iCs/>
          <w:color w:val="333333"/>
          <w:sz w:val="29"/>
          <w:szCs w:val="29"/>
          <w:lang w:eastAsia="fr-FR"/>
        </w:rPr>
        <w:t>Cass.soc.19.09.18, n°17-11618.  </w:t>
      </w:r>
    </w:p>
    <w:p w14:paraId="5DFCFD2C" w14:textId="77777777" w:rsidR="00EC2A60" w:rsidRPr="00EC2A60" w:rsidRDefault="00EC2A60" w:rsidP="00EC2A60">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b/>
          <w:bCs/>
          <w:color w:val="333333"/>
          <w:sz w:val="27"/>
          <w:szCs w:val="27"/>
          <w:lang w:eastAsia="fr-FR"/>
        </w:rPr>
        <w:t>Faits, procédure</w:t>
      </w:r>
    </w:p>
    <w:p w14:paraId="4D89738D"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Un protocole de fin de conflit prévoit le paiement d’un </w:t>
      </w:r>
      <w:r w:rsidRPr="00EC2A60">
        <w:rPr>
          <w:rFonts w:ascii="Arial" w:eastAsia="Times New Roman" w:hAnsi="Arial" w:cs="Arial"/>
          <w:i/>
          <w:iCs/>
          <w:color w:val="333333"/>
          <w:sz w:val="21"/>
          <w:szCs w:val="21"/>
          <w:lang w:eastAsia="fr-FR"/>
        </w:rPr>
        <w:t>bonus</w:t>
      </w:r>
      <w:r w:rsidRPr="00EC2A60">
        <w:rPr>
          <w:rFonts w:ascii="Arial" w:eastAsia="Times New Roman" w:hAnsi="Arial" w:cs="Arial"/>
          <w:color w:val="333333"/>
          <w:sz w:val="21"/>
          <w:szCs w:val="21"/>
          <w:lang w:eastAsia="fr-FR"/>
        </w:rPr>
        <w:t> de coopération destiné à rémunérer l’activité des salariés devant coopérer avec les équipes envoyées par le siège italien en vue de leur transmettre le savoir-faire français.</w:t>
      </w:r>
    </w:p>
    <w:p w14:paraId="2D22B7A6"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Durant son congé maternité, une salariée se voit suspendre le paiement de ce </w:t>
      </w:r>
      <w:r w:rsidRPr="00EC2A60">
        <w:rPr>
          <w:rFonts w:ascii="Arial" w:eastAsia="Times New Roman" w:hAnsi="Arial" w:cs="Arial"/>
          <w:i/>
          <w:iCs/>
          <w:color w:val="333333"/>
          <w:sz w:val="21"/>
          <w:szCs w:val="21"/>
          <w:lang w:eastAsia="fr-FR"/>
        </w:rPr>
        <w:t>bonus</w:t>
      </w:r>
      <w:r w:rsidRPr="00EC2A60">
        <w:rPr>
          <w:rFonts w:ascii="Arial" w:eastAsia="Times New Roman" w:hAnsi="Arial" w:cs="Arial"/>
          <w:color w:val="333333"/>
          <w:sz w:val="21"/>
          <w:szCs w:val="21"/>
          <w:lang w:eastAsia="fr-FR"/>
        </w:rPr>
        <w:t>. Pour l’employeur en effet, elle ne répondait plus, du fait de son absence, aux critères de fixation de cette prime. La salariée décide de saisir le conseil de prud’hommes afin d’obtenir un rappel de salaire et une indemnité pour discrimination. Elle soutient qu’elle ne peut, du seul fait de sa grossesse, subir une baisse de rémunération ni être exclue du versement d’une prime (1).</w:t>
      </w:r>
    </w:p>
    <w:p w14:paraId="27EC2376"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Les juges du fond donnent malgré tout raison à l’employeur, tout en précisant que la salariée a perçu 100 % de son salaire de base mensuel prévu par la Convention collective. Un pourvoi en cassation est alors formé. </w:t>
      </w:r>
    </w:p>
    <w:p w14:paraId="29193CA3" w14:textId="77777777" w:rsidR="00EC2A60" w:rsidRPr="00EC2A60" w:rsidRDefault="00EC2A60" w:rsidP="00EC2A60">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b/>
          <w:bCs/>
          <w:color w:val="333333"/>
          <w:sz w:val="27"/>
          <w:szCs w:val="27"/>
          <w:lang w:eastAsia="fr-FR"/>
        </w:rPr>
        <w:t>La suspension d’une prime liée à l’exercice de fonctions spécifiques est admise durant le congé maternité</w:t>
      </w:r>
    </w:p>
    <w:p w14:paraId="4837F9BA"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La Cour de cassation va dans le sens des juges du fond. Elle admet que</w:t>
      </w:r>
      <w:r w:rsidRPr="00EC2A60">
        <w:rPr>
          <w:rFonts w:ascii="Arial" w:eastAsia="Times New Roman" w:hAnsi="Arial" w:cs="Arial"/>
          <w:b/>
          <w:bCs/>
          <w:color w:val="333333"/>
          <w:sz w:val="21"/>
          <w:szCs w:val="21"/>
          <w:lang w:eastAsia="fr-FR"/>
        </w:rPr>
        <w:t> certaines primes </w:t>
      </w:r>
      <w:r w:rsidRPr="00EC2A60">
        <w:rPr>
          <w:rFonts w:ascii="Arial" w:eastAsia="Times New Roman" w:hAnsi="Arial" w:cs="Arial"/>
          <w:color w:val="333333"/>
          <w:sz w:val="21"/>
          <w:szCs w:val="21"/>
          <w:lang w:eastAsia="fr-FR"/>
        </w:rPr>
        <w:t>puissent être exclues de la rémunération,</w:t>
      </w:r>
      <w:r w:rsidRPr="00EC2A60">
        <w:rPr>
          <w:rFonts w:ascii="Arial" w:eastAsia="Times New Roman" w:hAnsi="Arial" w:cs="Arial"/>
          <w:b/>
          <w:bCs/>
          <w:color w:val="333333"/>
          <w:sz w:val="21"/>
          <w:szCs w:val="21"/>
          <w:lang w:eastAsia="fr-FR"/>
        </w:rPr>
        <w:t> sans pour autant que cela porte atteinte à la protection de la salariée en congé maternité.</w:t>
      </w:r>
    </w:p>
    <w:p w14:paraId="26743D79"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Toutefois, dans son attendu de principe, </w:t>
      </w:r>
      <w:r w:rsidRPr="00EC2A60">
        <w:rPr>
          <w:rFonts w:ascii="Arial" w:eastAsia="Times New Roman" w:hAnsi="Arial" w:cs="Arial"/>
          <w:b/>
          <w:bCs/>
          <w:color w:val="333333"/>
          <w:sz w:val="21"/>
          <w:szCs w:val="21"/>
          <w:lang w:eastAsia="fr-FR"/>
        </w:rPr>
        <w:t>la Haute Cour</w:t>
      </w:r>
      <w:r w:rsidRPr="00EC2A60">
        <w:rPr>
          <w:rFonts w:ascii="Arial" w:eastAsia="Times New Roman" w:hAnsi="Arial" w:cs="Arial"/>
          <w:color w:val="333333"/>
          <w:sz w:val="21"/>
          <w:szCs w:val="21"/>
          <w:lang w:eastAsia="fr-FR"/>
        </w:rPr>
        <w:t> </w:t>
      </w:r>
      <w:r w:rsidRPr="00EC2A60">
        <w:rPr>
          <w:rFonts w:ascii="Arial" w:eastAsia="Times New Roman" w:hAnsi="Arial" w:cs="Arial"/>
          <w:b/>
          <w:bCs/>
          <w:color w:val="333333"/>
          <w:sz w:val="21"/>
          <w:szCs w:val="21"/>
          <w:lang w:eastAsia="fr-FR"/>
        </w:rPr>
        <w:t>conditionne sa décision </w:t>
      </w:r>
      <w:r w:rsidRPr="00EC2A60">
        <w:rPr>
          <w:rFonts w:ascii="Arial" w:eastAsia="Times New Roman" w:hAnsi="Arial" w:cs="Arial"/>
          <w:color w:val="333333"/>
          <w:sz w:val="21"/>
          <w:szCs w:val="21"/>
          <w:lang w:eastAsia="fr-FR"/>
        </w:rPr>
        <w:t>à la spécificité de cette prime </w:t>
      </w:r>
      <w:r w:rsidRPr="00EC2A60">
        <w:rPr>
          <w:rFonts w:ascii="Arial" w:eastAsia="Times New Roman" w:hAnsi="Arial" w:cs="Arial"/>
          <w:b/>
          <w:bCs/>
          <w:color w:val="333333"/>
          <w:sz w:val="21"/>
          <w:szCs w:val="21"/>
          <w:lang w:eastAsia="fr-FR"/>
        </w:rPr>
        <w:t>:</w:t>
      </w:r>
    </w:p>
    <w:p w14:paraId="546709D2"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          elle était bien </w:t>
      </w:r>
      <w:r w:rsidRPr="00EC2A60">
        <w:rPr>
          <w:rFonts w:ascii="Arial" w:eastAsia="Times New Roman" w:hAnsi="Arial" w:cs="Arial"/>
          <w:b/>
          <w:bCs/>
          <w:color w:val="333333"/>
          <w:sz w:val="21"/>
          <w:szCs w:val="21"/>
          <w:lang w:eastAsia="fr-FR"/>
        </w:rPr>
        <w:t>subordonnée à la participation active et effective </w:t>
      </w:r>
      <w:r w:rsidRPr="00EC2A60">
        <w:rPr>
          <w:rFonts w:ascii="Arial" w:eastAsia="Times New Roman" w:hAnsi="Arial" w:cs="Arial"/>
          <w:color w:val="333333"/>
          <w:sz w:val="21"/>
          <w:szCs w:val="21"/>
          <w:lang w:eastAsia="fr-FR"/>
        </w:rPr>
        <w:t>des salariés aux activités de transfert et de formation continue des équipes italiennes en France ;</w:t>
      </w:r>
    </w:p>
    <w:p w14:paraId="0FF0A657"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et</w:t>
      </w:r>
    </w:p>
    <w:p w14:paraId="1E2A2469"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          elle </w:t>
      </w:r>
      <w:r w:rsidRPr="00EC2A60">
        <w:rPr>
          <w:rFonts w:ascii="Arial" w:eastAsia="Times New Roman" w:hAnsi="Arial" w:cs="Arial"/>
          <w:b/>
          <w:bCs/>
          <w:color w:val="333333"/>
          <w:sz w:val="21"/>
          <w:szCs w:val="21"/>
          <w:lang w:eastAsia="fr-FR"/>
        </w:rPr>
        <w:t>r</w:t>
      </w:r>
      <w:r w:rsidRPr="00EC2A60">
        <w:rPr>
          <w:rFonts w:ascii="Arial" w:eastAsia="Times New Roman" w:hAnsi="Arial" w:cs="Arial"/>
          <w:color w:val="333333"/>
          <w:sz w:val="21"/>
          <w:szCs w:val="21"/>
          <w:lang w:eastAsia="fr-FR"/>
        </w:rPr>
        <w:t>épondait à des </w:t>
      </w:r>
      <w:r w:rsidRPr="00EC2A60">
        <w:rPr>
          <w:rFonts w:ascii="Arial" w:eastAsia="Times New Roman" w:hAnsi="Arial" w:cs="Arial"/>
          <w:b/>
          <w:bCs/>
          <w:color w:val="333333"/>
          <w:sz w:val="21"/>
          <w:szCs w:val="21"/>
          <w:lang w:eastAsia="fr-FR"/>
        </w:rPr>
        <w:t>critères de fixation et d’attribution objectifs, mesurables et licites</w:t>
      </w:r>
      <w:r w:rsidRPr="00EC2A60">
        <w:rPr>
          <w:rFonts w:ascii="Arial" w:eastAsia="Times New Roman" w:hAnsi="Arial" w:cs="Arial"/>
          <w:color w:val="333333"/>
          <w:sz w:val="21"/>
          <w:szCs w:val="21"/>
          <w:lang w:eastAsia="fr-FR"/>
        </w:rPr>
        <w:t>.</w:t>
      </w:r>
    </w:p>
    <w:p w14:paraId="51C38A96"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Comme le souligne la Cour de cassation, cette prime visait à récompenser le service rendu des salariés. La salariée, du fait de son absence, ne remplissait donc plus les critères d’attribution pour que lui soit versée sa prime, peu important que ce fût en raison d’un congé maternité.</w:t>
      </w:r>
    </w:p>
    <w:p w14:paraId="55A89068"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b/>
          <w:bCs/>
          <w:color w:val="333333"/>
          <w:sz w:val="21"/>
          <w:szCs w:val="21"/>
          <w:lang w:eastAsia="fr-FR"/>
        </w:rPr>
        <w:t>A l’inverse</w:t>
      </w:r>
      <w:r w:rsidRPr="00EC2A60">
        <w:rPr>
          <w:rFonts w:ascii="Arial" w:eastAsia="Times New Roman" w:hAnsi="Arial" w:cs="Arial"/>
          <w:color w:val="333333"/>
          <w:sz w:val="21"/>
          <w:szCs w:val="21"/>
          <w:lang w:eastAsia="fr-FR"/>
        </w:rPr>
        <w:t>, si les conditions de versement de la prime avaient été autres, sa suspension durant un congé maternité aurait certainement été jugée </w:t>
      </w:r>
      <w:r w:rsidRPr="00EC2A60">
        <w:rPr>
          <w:rFonts w:ascii="Arial" w:eastAsia="Times New Roman" w:hAnsi="Arial" w:cs="Arial"/>
          <w:b/>
          <w:bCs/>
          <w:color w:val="333333"/>
          <w:sz w:val="21"/>
          <w:szCs w:val="21"/>
          <w:lang w:eastAsia="fr-FR"/>
        </w:rPr>
        <w:t>discriminatoire</w:t>
      </w:r>
      <w:r w:rsidRPr="00EC2A60">
        <w:rPr>
          <w:rFonts w:ascii="Arial" w:eastAsia="Times New Roman" w:hAnsi="Arial" w:cs="Arial"/>
          <w:color w:val="333333"/>
          <w:sz w:val="21"/>
          <w:szCs w:val="21"/>
          <w:lang w:eastAsia="fr-FR"/>
        </w:rPr>
        <w:t>.</w:t>
      </w:r>
    </w:p>
    <w:p w14:paraId="3EB8BF8C" w14:textId="77777777" w:rsidR="00EC2A60" w:rsidRPr="00EC2A60" w:rsidRDefault="00EC2A60" w:rsidP="00EC2A60">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b/>
          <w:bCs/>
          <w:color w:val="333333"/>
          <w:sz w:val="27"/>
          <w:szCs w:val="27"/>
          <w:lang w:eastAsia="fr-FR"/>
        </w:rPr>
        <w:t>Une décision  en accord avec la jurisprudence européenne et interne</w:t>
      </w:r>
    </w:p>
    <w:p w14:paraId="50992890"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b/>
          <w:bCs/>
          <w:color w:val="333333"/>
          <w:sz w:val="21"/>
          <w:szCs w:val="21"/>
          <w:lang w:eastAsia="fr-FR"/>
        </w:rPr>
        <w:t>La Cour de cassation s’appuie expressément sur la jurisprudence européenne</w:t>
      </w:r>
      <w:r w:rsidRPr="00EC2A60">
        <w:rPr>
          <w:rFonts w:ascii="Arial" w:eastAsia="Times New Roman" w:hAnsi="Arial" w:cs="Arial"/>
          <w:color w:val="333333"/>
          <w:sz w:val="21"/>
          <w:szCs w:val="21"/>
          <w:lang w:eastAsia="fr-FR"/>
        </w:rPr>
        <w:t> en la matière, et plus spécifiquement sur l’article 11.2 de la directive 92/85/CE du 19 octobre 1992 concernant la mise en œuvre de mesures visant à promouvoir l’amélioration de la sécurité et la santé des travailleuses enceintes, accouchées ou allaitantes. Cet article impose le  </w:t>
      </w:r>
      <w:r w:rsidRPr="00EC2A60">
        <w:rPr>
          <w:rFonts w:ascii="Arial" w:eastAsia="Times New Roman" w:hAnsi="Arial" w:cs="Arial"/>
          <w:i/>
          <w:iCs/>
          <w:color w:val="333333"/>
          <w:sz w:val="21"/>
          <w:szCs w:val="21"/>
          <w:lang w:eastAsia="fr-FR"/>
        </w:rPr>
        <w:t>« maintien d’une rémunération »</w:t>
      </w:r>
      <w:r w:rsidRPr="00EC2A60">
        <w:rPr>
          <w:rFonts w:ascii="Arial" w:eastAsia="Times New Roman" w:hAnsi="Arial" w:cs="Arial"/>
          <w:color w:val="333333"/>
          <w:sz w:val="21"/>
          <w:szCs w:val="21"/>
          <w:lang w:eastAsia="fr-FR"/>
        </w:rPr>
        <w:t> pour la salariée </w:t>
      </w:r>
      <w:r w:rsidRPr="00EC2A60">
        <w:rPr>
          <w:rFonts w:ascii="Helvetica" w:eastAsia="Times New Roman" w:hAnsi="Helvetica" w:cs="Helvetica"/>
          <w:color w:val="333333"/>
          <w:sz w:val="21"/>
          <w:szCs w:val="21"/>
          <w:lang w:eastAsia="fr-FR"/>
        </w:rPr>
        <w:t>partie en congé maternité. La Cour de justice de l’Union europé</w:t>
      </w:r>
      <w:r w:rsidRPr="00EC2A60">
        <w:rPr>
          <w:rFonts w:ascii="Arial" w:eastAsia="Times New Roman" w:hAnsi="Arial" w:cs="Arial"/>
          <w:color w:val="333333"/>
          <w:sz w:val="21"/>
          <w:szCs w:val="21"/>
          <w:lang w:eastAsia="fr-FR"/>
        </w:rPr>
        <w:t>enne a de nombreuses fois jugé que cela ne signifiait pas que la rémunération devait être intégrale au même titre que lorsque la salariée occupe son poste de travail (2).</w:t>
      </w:r>
    </w:p>
    <w:p w14:paraId="1EB5F9D3"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Par ailleurs, </w:t>
      </w:r>
      <w:r w:rsidRPr="00EC2A60">
        <w:rPr>
          <w:rFonts w:ascii="Arial" w:eastAsia="Times New Roman" w:hAnsi="Arial" w:cs="Arial"/>
          <w:b/>
          <w:bCs/>
          <w:color w:val="333333"/>
          <w:sz w:val="21"/>
          <w:szCs w:val="21"/>
          <w:lang w:eastAsia="fr-FR"/>
        </w:rPr>
        <w:t>en droit interne</w:t>
      </w:r>
      <w:r w:rsidRPr="00EC2A60">
        <w:rPr>
          <w:rFonts w:ascii="Arial" w:eastAsia="Times New Roman" w:hAnsi="Arial" w:cs="Arial"/>
          <w:color w:val="333333"/>
          <w:sz w:val="21"/>
          <w:szCs w:val="21"/>
          <w:lang w:eastAsia="fr-FR"/>
        </w:rPr>
        <w:t>, la jurisprudence admet la possibilité de subordonner le paiement de primes à </w:t>
      </w:r>
      <w:r w:rsidRPr="00EC2A60">
        <w:rPr>
          <w:rFonts w:ascii="Arial" w:eastAsia="Times New Roman" w:hAnsi="Arial" w:cs="Arial"/>
          <w:b/>
          <w:bCs/>
          <w:color w:val="333333"/>
          <w:sz w:val="21"/>
          <w:szCs w:val="21"/>
          <w:lang w:eastAsia="fr-FR"/>
        </w:rPr>
        <w:t>l’accomplissement effectif</w:t>
      </w:r>
      <w:r w:rsidRPr="00EC2A60">
        <w:rPr>
          <w:rFonts w:ascii="Arial" w:eastAsia="Times New Roman" w:hAnsi="Arial" w:cs="Arial"/>
          <w:color w:val="333333"/>
          <w:sz w:val="21"/>
          <w:szCs w:val="21"/>
          <w:lang w:eastAsia="fr-FR"/>
        </w:rPr>
        <w:t xml:space="preserve"> d’un travail ou à la présence du salarié dans l’entreprise.  Par exemple, il a été jugé qu’un accord collectif puisse tenir compte des absences même dues à la maladie ou à la grossesse pour le paiement </w:t>
      </w:r>
      <w:r w:rsidRPr="00EC2A60">
        <w:rPr>
          <w:rFonts w:ascii="Arial" w:eastAsia="Times New Roman" w:hAnsi="Arial" w:cs="Arial"/>
          <w:color w:val="333333"/>
          <w:sz w:val="21"/>
          <w:szCs w:val="21"/>
          <w:lang w:eastAsia="fr-FR"/>
        </w:rPr>
        <w:lastRenderedPageBreak/>
        <w:t>d’une prime, à la </w:t>
      </w:r>
      <w:r w:rsidRPr="00EC2A60">
        <w:rPr>
          <w:rFonts w:ascii="Arial" w:eastAsia="Times New Roman" w:hAnsi="Arial" w:cs="Arial"/>
          <w:b/>
          <w:bCs/>
          <w:color w:val="333333"/>
          <w:sz w:val="21"/>
          <w:szCs w:val="21"/>
          <w:lang w:eastAsia="fr-FR"/>
        </w:rPr>
        <w:t>condition toutefois que toutes les autres absences qui ne sont pas assimilées à du temps de travail effectif entraînent les mêmes conséquences</w:t>
      </w:r>
      <w:r w:rsidRPr="00EC2A60">
        <w:rPr>
          <w:rFonts w:ascii="Arial" w:eastAsia="Times New Roman" w:hAnsi="Arial" w:cs="Arial"/>
          <w:color w:val="333333"/>
          <w:sz w:val="21"/>
          <w:szCs w:val="21"/>
          <w:lang w:eastAsia="fr-FR"/>
        </w:rPr>
        <w:t> (3).</w:t>
      </w:r>
      <w:bookmarkStart w:id="1" w:name="_ftnref2"/>
      <w:bookmarkEnd w:id="1"/>
    </w:p>
    <w:p w14:paraId="463DE181" w14:textId="77777777" w:rsidR="00EC2A60" w:rsidRPr="00EC2A60" w:rsidRDefault="00EC2A60" w:rsidP="00EC2A60">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b/>
          <w:bCs/>
          <w:color w:val="333333"/>
          <w:sz w:val="27"/>
          <w:szCs w:val="27"/>
          <w:lang w:eastAsia="fr-FR"/>
        </w:rPr>
        <w:t>Une décision regrettable et à contre-courant</w:t>
      </w:r>
    </w:p>
    <w:p w14:paraId="4F00E123"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Cette décision </w:t>
      </w:r>
      <w:r w:rsidRPr="00EC2A60">
        <w:rPr>
          <w:rFonts w:ascii="Arial" w:eastAsia="Times New Roman" w:hAnsi="Arial" w:cs="Arial"/>
          <w:b/>
          <w:bCs/>
          <w:color w:val="333333"/>
          <w:sz w:val="21"/>
          <w:szCs w:val="21"/>
          <w:lang w:eastAsia="fr-FR"/>
        </w:rPr>
        <w:t>ne s’inscrit clairement pas dans le mouvement actuel visant à promouvoir l’égalité de rémunération entre les hommes et les femmes. </w:t>
      </w:r>
      <w:r w:rsidRPr="00EC2A60">
        <w:rPr>
          <w:rFonts w:ascii="Arial" w:eastAsia="Times New Roman" w:hAnsi="Arial" w:cs="Arial"/>
          <w:color w:val="333333"/>
          <w:sz w:val="21"/>
          <w:szCs w:val="21"/>
          <w:lang w:eastAsia="fr-FR"/>
        </w:rPr>
        <w:t>Or cet écart, rappelons-le, trouve souvent son origine dans la prise d’un congé maternité.</w:t>
      </w:r>
    </w:p>
    <w:p w14:paraId="6FC9DC4B"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A notre sens, la salariée est bel et bien ici victime d’une </w:t>
      </w:r>
      <w:r w:rsidRPr="00EC2A60">
        <w:rPr>
          <w:rFonts w:ascii="Arial" w:eastAsia="Times New Roman" w:hAnsi="Arial" w:cs="Arial"/>
          <w:b/>
          <w:bCs/>
          <w:color w:val="333333"/>
          <w:sz w:val="21"/>
          <w:szCs w:val="21"/>
          <w:lang w:eastAsia="fr-FR"/>
        </w:rPr>
        <w:t>discrimination indirecte, </w:t>
      </w:r>
      <w:r w:rsidRPr="00EC2A60">
        <w:rPr>
          <w:rFonts w:ascii="Arial" w:eastAsia="Times New Roman" w:hAnsi="Arial" w:cs="Arial"/>
          <w:color w:val="333333"/>
          <w:sz w:val="21"/>
          <w:szCs w:val="21"/>
          <w:lang w:eastAsia="fr-FR"/>
        </w:rPr>
        <w:t>puisque le congé maternité est un congé </w:t>
      </w:r>
      <w:r w:rsidRPr="00EC2A60">
        <w:rPr>
          <w:rFonts w:ascii="Arial" w:eastAsia="Times New Roman" w:hAnsi="Arial" w:cs="Arial"/>
          <w:b/>
          <w:bCs/>
          <w:color w:val="333333"/>
          <w:sz w:val="21"/>
          <w:szCs w:val="21"/>
          <w:lang w:eastAsia="fr-FR"/>
        </w:rPr>
        <w:t>légal obligatoire</w:t>
      </w:r>
      <w:r w:rsidRPr="00EC2A60">
        <w:rPr>
          <w:rFonts w:ascii="Arial" w:eastAsia="Times New Roman" w:hAnsi="Arial" w:cs="Arial"/>
          <w:color w:val="333333"/>
          <w:sz w:val="21"/>
          <w:szCs w:val="21"/>
          <w:lang w:eastAsia="fr-FR"/>
        </w:rPr>
        <w:t>. Cet arrêt est donc regrettable et n’envoie pas un signal positif aux femmes, pour lesquelles, bien souvent, le congé maternité constitue un frein à leur carrière professionnelle. </w:t>
      </w:r>
    </w:p>
    <w:p w14:paraId="2E152E9F"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 </w:t>
      </w:r>
    </w:p>
    <w:p w14:paraId="7DAA4986"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Arial" w:eastAsia="Times New Roman" w:hAnsi="Arial" w:cs="Arial"/>
          <w:color w:val="333333"/>
          <w:sz w:val="21"/>
          <w:szCs w:val="21"/>
          <w:lang w:eastAsia="fr-FR"/>
        </w:rPr>
        <w:t>(1) Art. L.1132-1, L.1142-1 et L. 1225-16 C.trav.</w:t>
      </w:r>
    </w:p>
    <w:p w14:paraId="08D389A0"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Helvetica" w:eastAsia="Times New Roman" w:hAnsi="Helvetica" w:cs="Helvetica"/>
          <w:color w:val="333333"/>
          <w:sz w:val="21"/>
          <w:szCs w:val="21"/>
          <w:lang w:eastAsia="fr-FR"/>
        </w:rPr>
        <w:t>(2) CJUE du 14.07.16 aff.C-335/15.</w:t>
      </w:r>
    </w:p>
    <w:p w14:paraId="365380FD" w14:textId="77777777" w:rsidR="00EC2A60" w:rsidRPr="00EC2A60" w:rsidRDefault="00EC2A60" w:rsidP="00EC2A60">
      <w:pPr>
        <w:shd w:val="clear" w:color="auto" w:fill="FFFFFF"/>
        <w:spacing w:after="150" w:line="240" w:lineRule="auto"/>
        <w:jc w:val="both"/>
        <w:rPr>
          <w:rFonts w:ascii="Helvetica" w:eastAsia="Times New Roman" w:hAnsi="Helvetica" w:cs="Helvetica"/>
          <w:color w:val="333333"/>
          <w:sz w:val="21"/>
          <w:szCs w:val="21"/>
          <w:lang w:eastAsia="fr-FR"/>
        </w:rPr>
      </w:pPr>
      <w:r w:rsidRPr="00EC2A60">
        <w:rPr>
          <w:rFonts w:ascii="Helvetica" w:eastAsia="Times New Roman" w:hAnsi="Helvetica" w:cs="Helvetica"/>
          <w:color w:val="333333"/>
          <w:sz w:val="21"/>
          <w:szCs w:val="21"/>
          <w:lang w:eastAsia="fr-FR"/>
        </w:rPr>
        <w:t>(3) Cass.soc. 01.12.16, n°15-24693.</w:t>
      </w:r>
    </w:p>
    <w:p w14:paraId="78ADD71F" w14:textId="77777777" w:rsidR="00D426FE" w:rsidRPr="00EC2A60" w:rsidRDefault="00D426FE" w:rsidP="00EC2A60"/>
    <w:sectPr w:rsidR="00D426FE" w:rsidRPr="00EC2A60"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FD6D" w14:textId="77777777" w:rsidR="00EC2A60" w:rsidRDefault="00EC2A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0F91" w14:textId="77777777" w:rsidR="00EC2A60" w:rsidRDefault="00EC2A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0E721" w14:textId="77777777" w:rsidR="00EC2A60" w:rsidRDefault="00EC2A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D8D35" w14:textId="77777777" w:rsidR="00EC2A60" w:rsidRDefault="00EC2A6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DF7B" w14:textId="77777777" w:rsidR="00EC2A60" w:rsidRDefault="00EC2A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87770"/>
    <w:multiLevelType w:val="multilevel"/>
    <w:tmpl w:val="AFB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9176B"/>
    <w:multiLevelType w:val="multilevel"/>
    <w:tmpl w:val="1DFE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F0677"/>
    <w:multiLevelType w:val="multilevel"/>
    <w:tmpl w:val="5B2E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739A0"/>
    <w:multiLevelType w:val="multilevel"/>
    <w:tmpl w:val="F78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D426FE"/>
    <w:rsid w:val="00EC2A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7827">
      <w:bodyDiv w:val="1"/>
      <w:marLeft w:val="0"/>
      <w:marRight w:val="0"/>
      <w:marTop w:val="0"/>
      <w:marBottom w:val="0"/>
      <w:divBdr>
        <w:top w:val="none" w:sz="0" w:space="0" w:color="auto"/>
        <w:left w:val="none" w:sz="0" w:space="0" w:color="auto"/>
        <w:bottom w:val="none" w:sz="0" w:space="0" w:color="auto"/>
        <w:right w:val="none" w:sz="0" w:space="0" w:color="auto"/>
      </w:divBdr>
      <w:divsChild>
        <w:div w:id="47650624">
          <w:marLeft w:val="-225"/>
          <w:marRight w:val="-225"/>
          <w:marTop w:val="0"/>
          <w:marBottom w:val="0"/>
          <w:divBdr>
            <w:top w:val="none" w:sz="0" w:space="0" w:color="auto"/>
            <w:left w:val="none" w:sz="0" w:space="0" w:color="auto"/>
            <w:bottom w:val="none" w:sz="0" w:space="0" w:color="auto"/>
            <w:right w:val="none" w:sz="0" w:space="0" w:color="auto"/>
          </w:divBdr>
          <w:divsChild>
            <w:div w:id="40062761">
              <w:marLeft w:val="0"/>
              <w:marRight w:val="0"/>
              <w:marTop w:val="0"/>
              <w:marBottom w:val="150"/>
              <w:divBdr>
                <w:top w:val="none" w:sz="0" w:space="0" w:color="auto"/>
                <w:left w:val="none" w:sz="0" w:space="0" w:color="auto"/>
                <w:bottom w:val="none" w:sz="0" w:space="0" w:color="auto"/>
                <w:right w:val="none" w:sz="0" w:space="0" w:color="auto"/>
              </w:divBdr>
              <w:divsChild>
                <w:div w:id="1111827796">
                  <w:marLeft w:val="0"/>
                  <w:marRight w:val="0"/>
                  <w:marTop w:val="0"/>
                  <w:marBottom w:val="0"/>
                  <w:divBdr>
                    <w:top w:val="none" w:sz="0" w:space="0" w:color="auto"/>
                    <w:left w:val="none" w:sz="0" w:space="0" w:color="auto"/>
                    <w:bottom w:val="none" w:sz="0" w:space="0" w:color="auto"/>
                    <w:right w:val="none" w:sz="0" w:space="0" w:color="auto"/>
                  </w:divBdr>
                </w:div>
                <w:div w:id="62921352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00403887">
          <w:marLeft w:val="0"/>
          <w:marRight w:val="0"/>
          <w:marTop w:val="0"/>
          <w:marBottom w:val="225"/>
          <w:divBdr>
            <w:top w:val="none" w:sz="0" w:space="0" w:color="auto"/>
            <w:left w:val="none" w:sz="0" w:space="0" w:color="auto"/>
            <w:bottom w:val="none" w:sz="0" w:space="0" w:color="auto"/>
            <w:right w:val="none" w:sz="0" w:space="0" w:color="auto"/>
          </w:divBdr>
          <w:divsChild>
            <w:div w:id="93595586">
              <w:marLeft w:val="0"/>
              <w:marRight w:val="0"/>
              <w:marTop w:val="0"/>
              <w:marBottom w:val="0"/>
              <w:divBdr>
                <w:top w:val="none" w:sz="0" w:space="0" w:color="auto"/>
                <w:left w:val="none" w:sz="0" w:space="0" w:color="auto"/>
                <w:bottom w:val="none" w:sz="0" w:space="0" w:color="auto"/>
                <w:right w:val="none" w:sz="0" w:space="0" w:color="auto"/>
              </w:divBdr>
            </w:div>
          </w:divsChild>
        </w:div>
        <w:div w:id="610010516">
          <w:marLeft w:val="0"/>
          <w:marRight w:val="0"/>
          <w:marTop w:val="0"/>
          <w:marBottom w:val="225"/>
          <w:divBdr>
            <w:top w:val="none" w:sz="0" w:space="0" w:color="auto"/>
            <w:left w:val="none" w:sz="0" w:space="0" w:color="auto"/>
            <w:bottom w:val="none" w:sz="0" w:space="0" w:color="auto"/>
            <w:right w:val="none" w:sz="0" w:space="0" w:color="auto"/>
          </w:divBdr>
        </w:div>
        <w:div w:id="1285770661">
          <w:marLeft w:val="0"/>
          <w:marRight w:val="0"/>
          <w:marTop w:val="0"/>
          <w:marBottom w:val="0"/>
          <w:divBdr>
            <w:top w:val="none" w:sz="0" w:space="0" w:color="auto"/>
            <w:left w:val="none" w:sz="0" w:space="0" w:color="auto"/>
            <w:bottom w:val="none" w:sz="0" w:space="0" w:color="auto"/>
            <w:right w:val="none" w:sz="0" w:space="0" w:color="auto"/>
          </w:divBdr>
          <w:divsChild>
            <w:div w:id="1714650156">
              <w:marLeft w:val="0"/>
              <w:marRight w:val="0"/>
              <w:marTop w:val="0"/>
              <w:marBottom w:val="0"/>
              <w:divBdr>
                <w:top w:val="none" w:sz="0" w:space="0" w:color="auto"/>
                <w:left w:val="none" w:sz="0" w:space="0" w:color="auto"/>
                <w:bottom w:val="none" w:sz="0" w:space="0" w:color="auto"/>
                <w:right w:val="none" w:sz="0" w:space="0" w:color="auto"/>
              </w:divBdr>
              <w:divsChild>
                <w:div w:id="7867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microsoft.com/office/2006/metadata/properties"/>
    <ds:schemaRef ds:uri="http://schemas.microsoft.com/office/2006/documentManagement/types"/>
    <ds:schemaRef ds:uri="9916e120-d7f8-4fa5-b4b3-ef5fa48b1c67"/>
    <ds:schemaRef ds:uri="http://purl.org/dc/elements/1.1/"/>
    <ds:schemaRef ds:uri="http://schemas.openxmlformats.org/package/2006/metadata/core-properties"/>
    <ds:schemaRef ds:uri="http://schemas.microsoft.com/office/infopath/2007/PartnerControls"/>
    <ds:schemaRef ds:uri="http://purl.org/dc/terms/"/>
    <ds:schemaRef ds:uri="96238137-54cb-4b23-8002-3ec04bb41ce8"/>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2020-02-06T15:17:00Z</dcterms:created>
  <dcterms:modified xsi:type="dcterms:W3CDTF">2020-02-06T15:17:00Z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